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keepLines w:val="0"/>
        <w:keepNext w:val="0"/>
        <w:pageBreakBefore w:val="0"/>
        <w:spacing w:before="75" w:after="75"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 </w:t>
      </w:r>
      <w:r/>
    </w:p>
    <w:p>
      <w:pPr>
        <w:ind w:left="0" w:right="0" w:firstLine="0"/>
        <w:jc w:val="center"/>
        <w:keepLines w:val="0"/>
        <w:keepNext w:val="0"/>
        <w:pageBreakBefore w:val="0"/>
        <w:spacing w:before="75" w:after="75"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keepLines w:val="0"/>
        <w:keepNext w:val="0"/>
        <w:pageBreakBefore w:val="0"/>
        <w:spacing w:before="75" w:after="75"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jc w:val="center"/>
        <w:keepLines w:val="0"/>
        <w:keepNext w:val="0"/>
        <w:pageBreakBefore w:val="0"/>
        <w:spacing w:before="75" w:after="75"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苏州市吴中区政府采购</w:t>
      </w:r>
      <w:r/>
    </w:p>
    <w:p>
      <w:pPr>
        <w:ind w:left="0" w:right="0" w:firstLine="0"/>
        <w:jc w:val="center"/>
        <w:keepLines w:val="0"/>
        <w:keepNext w:val="0"/>
        <w:pageBreakBefore w:val="0"/>
        <w:spacing w:before="75" w:after="75"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工程类磋商项目</w:t>
      </w:r>
      <w:r/>
    </w:p>
    <w:p>
      <w:pPr>
        <w:ind w:left="0" w:right="0" w:firstLine="0"/>
        <w:jc w:val="center"/>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904"/>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项目编号：</w:t>
      </w:r>
      <w:r>
        <w:rPr>
          <w:rFonts w:hint="eastAsia" w:ascii="宋体" w:hAnsi="宋体" w:cs="宋体"/>
          <w:b/>
          <w:color w:val="auto"/>
          <w:sz w:val="30"/>
          <w:highlight w:val="none"/>
          <w:u w:val="single"/>
          <w:lang w:eastAsia="zh-CN"/>
        </w:rPr>
        <w:t xml:space="preserve">JSZC-320506-SZDX-C2025-0023</w:t>
      </w:r>
      <w:r/>
    </w:p>
    <w:p>
      <w:pPr>
        <w:ind w:left="0" w:right="0" w:firstLine="904"/>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项目名称：</w:t>
      </w:r>
      <w:r>
        <w:rPr>
          <w:rFonts w:hint="eastAsia" w:ascii="宋体" w:hAnsi="宋体" w:cs="宋体"/>
          <w:b/>
          <w:color w:val="auto"/>
          <w:sz w:val="30"/>
          <w:highlight w:val="none"/>
          <w:u w:val="single"/>
          <w:lang w:eastAsia="zh-CN"/>
        </w:rPr>
        <w:t xml:space="preserve">太湖街道社会治安综合治理中心装修项目</w:t>
      </w:r>
      <w:r/>
    </w:p>
    <w:p>
      <w:pPr>
        <w:ind w:left="0" w:right="0" w:firstLine="904"/>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采 购 人：</w:t>
      </w:r>
      <w:r>
        <w:rPr>
          <w:rFonts w:hint="eastAsia" w:ascii="宋体" w:hAnsi="宋体" w:cs="宋体"/>
          <w:b/>
          <w:color w:val="auto"/>
          <w:sz w:val="30"/>
          <w:highlight w:val="none"/>
          <w:u w:val="single"/>
          <w:lang w:eastAsia="zh-CN"/>
        </w:rPr>
        <w:t xml:space="preserve">苏州市吴中区人民政府太湖街道办事处</w:t>
      </w:r>
      <w:r/>
    </w:p>
    <w:p>
      <w:pPr>
        <w:ind w:left="0" w:right="0" w:firstLine="904"/>
        <w:keepLines w:val="0"/>
        <w:keepNext w:val="0"/>
        <w:pageBreakBefore w:val="0"/>
        <w:spacing w:before="75" w:after="75"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采购代理机构：</w:t>
      </w:r>
      <w:r>
        <w:rPr>
          <w:rFonts w:ascii="宋体" w:hAnsi="宋体" w:eastAsia="宋体" w:cs="宋体"/>
          <w:b/>
          <w:color w:val="auto"/>
          <w:sz w:val="30"/>
          <w:highlight w:val="none"/>
          <w:u w:val="single"/>
        </w:rPr>
        <w:t xml:space="preserve">鼎信工程咨询（苏州）有限公司</w:t>
      </w:r>
      <w:r/>
    </w:p>
    <w:p>
      <w:pPr>
        <w:ind w:left="0" w:right="0" w:firstLine="904"/>
        <w:keepLines w:val="0"/>
        <w:keepNext w:val="0"/>
        <w:pageBreakBefore w:val="0"/>
        <w:spacing w:before="75" w:after="75"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项目类别：</w:t>
      </w:r>
      <w:r>
        <w:rPr>
          <w:rFonts w:ascii="宋体" w:hAnsi="宋体" w:eastAsia="宋体" w:cs="宋体"/>
          <w:b/>
          <w:color w:val="auto"/>
          <w:sz w:val="30"/>
          <w:highlight w:val="none"/>
          <w:u w:val="single"/>
        </w:rPr>
        <w:t xml:space="preserve">工程类</w:t>
      </w:r>
      <w:r/>
    </w:p>
    <w:p>
      <w:pPr>
        <w:ind w:left="0" w:right="0" w:firstLine="0"/>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75" w:after="75"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lang w:eastAsia="zh-CN"/>
        </w:rPr>
        <w:t xml:space="preserve">2025年1</w:t>
      </w:r>
      <w:r>
        <w:rPr>
          <w:rFonts w:hint="eastAsia" w:ascii="宋体" w:hAnsi="宋体" w:cs="宋体"/>
          <w:b/>
          <w:color w:val="auto"/>
          <w:sz w:val="28"/>
          <w:highlight w:val="none"/>
          <w:lang w:val="en-US" w:eastAsia="zh-CN"/>
        </w:rPr>
        <w:t xml:space="preserve">2</w:t>
      </w:r>
      <w:r>
        <w:rPr>
          <w:rFonts w:hint="eastAsia" w:ascii="宋体" w:hAnsi="宋体" w:cs="宋体"/>
          <w:b/>
          <w:color w:val="auto"/>
          <w:sz w:val="28"/>
          <w:highlight w:val="none"/>
          <w:lang w:eastAsia="zh-CN"/>
        </w:rPr>
        <w:t xml:space="preserve">月</w:t>
      </w:r>
      <w:r/>
    </w:p>
    <w:p>
      <w:pPr>
        <w:ind w:left="0" w:right="0" w:firstLine="0"/>
        <w:jc w:val="center"/>
        <w:keepLines w:val="0"/>
        <w:keepNext w:val="0"/>
        <w:pageBreakBefore w:val="0"/>
        <w:spacing w:before="210" w:after="160" w:line="360" w:lineRule="auto"/>
        <w:widowControl/>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bookmarkStart w:id="0" w:name="_GoBack"/>
      <w:r/>
      <w:bookmarkEnd w:id="0"/>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前附表</w:t>
      </w:r>
      <w:r/>
    </w:p>
    <w:tbl>
      <w:tblPr>
        <w:tblStyle w:val="709"/>
        <w:tblW w:w="915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2"/>
        <w:gridCol w:w="8090"/>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内容规定</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太湖街道社会治安综合治理中心装修项目</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响应文件有效期为响应文件递交截止之日起四十五天（日历天）</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磋商保证金：根据《江苏省财政厅文件苏财购【2020】52号》相关规定，本项目无须支付保证金</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磋商响应文件：供应商按照采购文件要求制作上传电子响应文件，</w:t>
            </w:r>
            <w:r>
              <w:rPr>
                <w:rFonts w:ascii="宋体" w:hAnsi="宋体" w:eastAsia="宋体" w:cs="宋体"/>
                <w:b/>
                <w:color w:val="auto"/>
                <w:sz w:val="24"/>
                <w:highlight w:val="none"/>
              </w:rPr>
              <w:t xml:space="preserve">项目评标结束后所有供应商须向采购代理机构提交响应文件纸质版，份数为三份（一正二副）。纸质响应文件与上传的电子响应文件一致，用于存档备案。（邮寄地址苏州市吴中区枫津南路18号南都广场1607，联系人：陈倩倩，联系电话：0512-66233886）</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截止时间：</w:t>
            </w:r>
            <w:r>
              <w:rPr>
                <w:rFonts w:hint="eastAsia" w:ascii="宋体" w:hAnsi="宋体" w:cs="宋体"/>
                <w:color w:val="auto"/>
                <w:sz w:val="24"/>
                <w:highlight w:val="none"/>
                <w:lang w:eastAsia="zh-CN"/>
              </w:rPr>
              <w:t xml:space="preserve">2025年1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月30日13:30</w:t>
            </w:r>
            <w:r>
              <w:rPr>
                <w:rFonts w:ascii="宋体" w:hAnsi="宋体" w:eastAsia="宋体" w:cs="宋体"/>
                <w:color w:val="auto"/>
                <w:sz w:val="21"/>
                <w:highlight w:val="none"/>
              </w:rPr>
              <w:t xml:space="preserve">（北京时间）</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磋商时间：</w:t>
            </w:r>
            <w:r>
              <w:rPr>
                <w:rFonts w:hint="eastAsia" w:ascii="宋体" w:hAnsi="宋体" w:cs="宋体"/>
                <w:color w:val="auto"/>
                <w:sz w:val="24"/>
                <w:highlight w:val="none"/>
                <w:lang w:eastAsia="zh-CN"/>
              </w:rPr>
              <w:t xml:space="preserve">2025年1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月30日13:30</w:t>
            </w:r>
            <w:r>
              <w:rPr>
                <w:rFonts w:ascii="宋体" w:hAnsi="宋体" w:eastAsia="宋体" w:cs="宋体"/>
                <w:color w:val="auto"/>
                <w:sz w:val="21"/>
                <w:highlight w:val="none"/>
              </w:rPr>
              <w:t xml:space="preserve">（北京时间）</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磋商地点：“苏采云”政府采购交易系统网上开标大厅。</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成交服务费：根据【2020年苏州市级政府采购代理服务收费公告信息表（第十二批）】的规定收取成交服务费。领取成交通知书时成交供应商向招标代理机构一次性付清。由成交供应商支付，按照采购预算100万元以内1.5%，100～500万元以内1.1%差额定率累进法计算并支付成交服务费。本项目服务费为</w:t>
            </w:r>
            <w:r>
              <w:rPr>
                <w:rFonts w:hint="eastAsia" w:ascii="宋体" w:hAnsi="宋体" w:eastAsia="宋体" w:cs="宋体"/>
                <w:color w:val="auto"/>
                <w:sz w:val="24"/>
                <w:highlight w:val="none"/>
              </w:rPr>
              <w:t xml:space="preserve">14581.49</w:t>
            </w:r>
            <w:r>
              <w:rPr>
                <w:rFonts w:ascii="宋体" w:hAnsi="宋体" w:eastAsia="宋体" w:cs="宋体"/>
                <w:color w:val="auto"/>
                <w:sz w:val="24"/>
                <w:highlight w:val="none"/>
              </w:rPr>
              <w:t xml:space="preserve">元</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账户名：鼎信工程咨询（苏州）有限公司</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 号：1102026319200591820</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开户行：中国工商银行苏州木渎支行</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eastAsia="zh-CN"/>
              </w:rPr>
              <w:t xml:space="preserve">苏州太湖新城吴中管理委员会党政办公室监管电话：（0512）65169307</w:t>
            </w:r>
            <w:r/>
          </w:p>
        </w:tc>
      </w:tr>
    </w:tbl>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52"/>
          <w:highlight w:val="none"/>
        </w:rPr>
        <w:t xml:space="preserve">目录</w:t>
      </w:r>
      <w:r/>
    </w:p>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8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一、磋商公告</w:t>
      </w:r>
      <w:r/>
    </w:p>
    <w:p>
      <w:pPr>
        <w:ind w:left="0" w:right="0" w:firstLine="8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二、磋商须知</w:t>
      </w:r>
      <w:r/>
    </w:p>
    <w:p>
      <w:pPr>
        <w:ind w:left="0" w:right="0" w:firstLine="8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三、采购内容</w:t>
      </w:r>
      <w:r/>
    </w:p>
    <w:p>
      <w:pPr>
        <w:ind w:left="0" w:right="0" w:firstLine="8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四、评审方法及评分标准</w:t>
      </w:r>
      <w:r/>
    </w:p>
    <w:p>
      <w:pPr>
        <w:ind w:left="0" w:right="0" w:firstLine="8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五、合同主要条款及格式</w:t>
      </w:r>
      <w:r/>
    </w:p>
    <w:p>
      <w:pPr>
        <w:ind w:left="0" w:right="0" w:firstLine="8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4"/>
          <w:highlight w:val="none"/>
        </w:rPr>
        <w:t xml:space="preserve">六、磋商响应文件格式</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3"/>
          <w:highlight w:val="none"/>
        </w:rPr>
        <w:t xml:space="preserve">第一章磋商公告</w:t>
      </w:r>
      <w:r/>
    </w:p>
    <w:p>
      <w:pPr>
        <w:ind w:left="0" w:right="0" w:firstLine="480"/>
        <w:jc w:val="both"/>
        <w:keepLines w:val="0"/>
        <w:keepNext w:val="0"/>
        <w:pageBreakBefore w:val="0"/>
        <w:spacing w:before="210" w:after="160" w:line="360" w:lineRule="auto"/>
        <w:widowControl/>
        <w:rPr>
          <w:color w:val="auto"/>
          <w:highlight w:val="none"/>
        </w:rPr>
        <w:pBdr>
          <w:top w:val="single" w:color="000000" w:sz="4" w:space="0"/>
          <w:left w:val="single" w:color="000000" w:sz="4" w:space="0"/>
          <w:bottom w:val="single" w:color="000000" w:sz="4" w:space="0"/>
          <w:right w:val="single" w:color="000000" w:sz="4" w:space="0"/>
        </w:pBdr>
        <w:outlineLvl w:val="9"/>
      </w:pPr>
      <w:r>
        <w:rPr>
          <w:rFonts w:ascii="宋体" w:hAnsi="宋体" w:eastAsia="宋体" w:cs="宋体"/>
          <w:color w:val="auto"/>
          <w:sz w:val="24"/>
          <w:highlight w:val="none"/>
        </w:rPr>
        <w:t xml:space="preserve">项目概况</w:t>
      </w:r>
      <w:r/>
    </w:p>
    <w:p>
      <w:pPr>
        <w:ind w:left="0" w:right="0" w:firstLine="480"/>
        <w:jc w:val="both"/>
        <w:keepLines w:val="0"/>
        <w:keepNext w:val="0"/>
        <w:pageBreakBefore w:val="0"/>
        <w:spacing w:before="210" w:after="160" w:line="360" w:lineRule="auto"/>
        <w:widowControl/>
        <w:rPr>
          <w:color w:val="auto"/>
          <w:highlight w:val="none"/>
        </w:rPr>
        <w:pBdr>
          <w:top w:val="single" w:color="000000" w:sz="4" w:space="0"/>
          <w:left w:val="single" w:color="000000" w:sz="4" w:space="0"/>
          <w:bottom w:val="single" w:color="000000" w:sz="4" w:space="0"/>
          <w:right w:val="single" w:color="000000" w:sz="4" w:space="0"/>
        </w:pBdr>
        <w:outlineLvl w:val="9"/>
      </w:pPr>
      <w:r>
        <w:rPr>
          <w:rFonts w:hint="eastAsia" w:ascii="宋体" w:hAnsi="宋体" w:cs="宋体"/>
          <w:color w:val="auto"/>
          <w:sz w:val="24"/>
          <w:highlight w:val="none"/>
          <w:u w:val="single"/>
          <w:lang w:eastAsia="zh-CN"/>
        </w:rPr>
        <w:t xml:space="preserve">太湖街道社会治安综合治理中心装修项目</w:t>
      </w:r>
      <w:r>
        <w:rPr>
          <w:rFonts w:ascii="宋体" w:hAnsi="宋体" w:eastAsia="宋体" w:cs="宋体"/>
          <w:color w:val="auto"/>
          <w:sz w:val="24"/>
          <w:highlight w:val="none"/>
        </w:rPr>
        <w:t xml:space="preserve">采购项目的潜在供应商应在</w:t>
      </w:r>
      <w:r>
        <w:rPr>
          <w:rFonts w:ascii="宋体" w:hAnsi="宋体" w:eastAsia="宋体" w:cs="宋体"/>
          <w:color w:val="auto"/>
          <w:sz w:val="24"/>
          <w:highlight w:val="none"/>
          <w:u w:val="single"/>
        </w:rPr>
        <w:t xml:space="preserve">“苏采云”政府采购交易系统（以下简称苏采云系统”）</w:t>
      </w:r>
      <w:r>
        <w:rPr>
          <w:rFonts w:ascii="宋体" w:hAnsi="宋体" w:eastAsia="宋体" w:cs="宋体"/>
          <w:color w:val="auto"/>
          <w:sz w:val="24"/>
          <w:highlight w:val="none"/>
        </w:rPr>
        <w:t xml:space="preserve">获取招标文件，并于</w:t>
      </w:r>
      <w:r>
        <w:rPr>
          <w:rFonts w:hint="eastAsia" w:ascii="宋体" w:hAnsi="宋体" w:cs="宋体"/>
          <w:color w:val="auto"/>
          <w:sz w:val="24"/>
          <w:highlight w:val="none"/>
          <w:u w:val="single"/>
          <w:lang w:eastAsia="zh-CN"/>
        </w:rPr>
        <w:t xml:space="preserve">2025年1</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lang w:eastAsia="zh-CN"/>
        </w:rPr>
        <w:t xml:space="preserve">月30日13:30</w:t>
      </w:r>
      <w:r>
        <w:rPr>
          <w:rFonts w:ascii="宋体" w:hAnsi="宋体" w:eastAsia="宋体" w:cs="宋体"/>
          <w:color w:val="auto"/>
          <w:sz w:val="24"/>
          <w:highlight w:val="none"/>
        </w:rPr>
        <w:t xml:space="preserve">（北京时间）前递交响应文件。</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u w:val="none"/>
        </w:rPr>
        <w:t xml:space="preserve">一、项目基本情况</w:t>
      </w:r>
      <w:r/>
    </w:p>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JSZC-320506-SZDX-C2025-0023</w:t>
      </w:r>
      <w:r/>
    </w:p>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太湖街道社会治安综合治理中心装修项目</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采购方式：竞争性磋商</w:t>
      </w:r>
      <w:r/>
    </w:p>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预算金额：</w:t>
      </w:r>
      <w:r>
        <w:rPr>
          <w:rFonts w:hint="eastAsia" w:ascii="宋体" w:hAnsi="宋体" w:eastAsia="宋体" w:cs="宋体"/>
          <w:color w:val="auto"/>
          <w:sz w:val="24"/>
          <w:highlight w:val="none"/>
          <w:lang w:eastAsia="zh-CN"/>
        </w:rPr>
        <w:t xml:space="preserve">人民币</w:t>
      </w:r>
      <w:r>
        <w:rPr>
          <w:rFonts w:hint="eastAsia" w:ascii="宋体" w:hAnsi="宋体" w:cs="宋体"/>
          <w:color w:val="auto"/>
          <w:sz w:val="24"/>
          <w:highlight w:val="none"/>
          <w:lang w:val="en-US" w:eastAsia="zh-CN"/>
        </w:rPr>
        <w:t xml:space="preserve">玖拾柒万贰仟零玖拾玖元叁角壹分</w:t>
      </w:r>
      <w:r>
        <w:rPr>
          <w:rFonts w:hint="eastAsia" w:ascii="宋体" w:hAnsi="宋体" w:cs="宋体"/>
          <w:color w:val="auto"/>
          <w:sz w:val="24"/>
          <w:highlight w:val="none"/>
          <w:lang w:eastAsia="zh-CN"/>
        </w:rPr>
        <w:t xml:space="preserve">（￥972099.31）</w:t>
      </w:r>
      <w:r/>
    </w:p>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最高限价：</w:t>
      </w:r>
      <w:r>
        <w:rPr>
          <w:rFonts w:hint="eastAsia" w:ascii="宋体" w:hAnsi="宋体" w:eastAsia="宋体" w:cs="宋体"/>
          <w:color w:val="auto"/>
          <w:sz w:val="24"/>
          <w:highlight w:val="none"/>
          <w:lang w:eastAsia="zh-CN"/>
        </w:rPr>
        <w:t xml:space="preserve">人民币</w:t>
      </w:r>
      <w:r>
        <w:rPr>
          <w:rFonts w:hint="eastAsia" w:ascii="宋体" w:hAnsi="宋体" w:cs="宋体"/>
          <w:color w:val="auto"/>
          <w:sz w:val="24"/>
          <w:highlight w:val="none"/>
          <w:lang w:val="en-US" w:eastAsia="zh-CN"/>
        </w:rPr>
        <w:t xml:space="preserve">玖拾柒万贰仟零玖拾玖元叁角壹分</w:t>
      </w:r>
      <w:r>
        <w:rPr>
          <w:rFonts w:hint="eastAsia" w:ascii="宋体" w:hAnsi="宋体" w:cs="宋体"/>
          <w:color w:val="auto"/>
          <w:sz w:val="24"/>
          <w:highlight w:val="none"/>
          <w:lang w:eastAsia="zh-CN"/>
        </w:rPr>
        <w:t xml:space="preserve">（￥972099.31）</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项目需求：详见采购文件第三章</w:t>
      </w:r>
      <w:r/>
    </w:p>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工期要求：</w:t>
      </w:r>
      <w:r>
        <w:rPr>
          <w:rFonts w:hint="eastAsia" w:ascii="宋体" w:hAnsi="宋体" w:cs="宋体"/>
          <w:color w:val="auto"/>
          <w:sz w:val="24"/>
          <w:highlight w:val="none"/>
          <w:lang w:eastAsia="zh-CN"/>
        </w:rPr>
        <w:t xml:space="preserve">45日历天</w:t>
      </w:r>
      <w:r>
        <w:rPr>
          <w:rFonts w:hint="eastAsia" w:ascii="宋体" w:hAnsi="宋体" w:eastAsia="宋体" w:cs="宋体"/>
          <w:color w:val="auto"/>
          <w:sz w:val="24"/>
          <w:highlight w:val="none"/>
          <w:lang w:eastAsia="zh-CN"/>
        </w:rPr>
        <w:t xml:space="preserve">（具体开工日期以采购人通知为准）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本项目不接受联合体。</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u w:val="none"/>
        </w:rPr>
        <w:t xml:space="preserve">二、申请人的资格要求：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1、满足《中华人民共和国政府采购法》第二十二条规定；</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（1）具有独立承担民事责任的能力；</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（2）具有良好的商业信誉和健全的财务会计制度；</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（3）具有履行合同所必需的设备和专业技术能力；</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（4）有依法缴纳税收和社会保障资金的良好记录；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（5）参加政府采购活动前三年内，在经营活动中没有重大违法记录；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（6）法律、行政法规规定的其他条件；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2、落实政府采购政策需满足的资格要求：根据《政府采购促进中小企业发展管理办法》的相关规定，本项目专门面向中小企业，所属行业为</w:t>
      </w:r>
      <w:r>
        <w:rPr>
          <w:rFonts w:ascii="宋体" w:hAnsi="宋体" w:eastAsia="宋体" w:cs="宋体"/>
          <w:b/>
          <w:color w:val="auto"/>
          <w:sz w:val="24"/>
          <w:highlight w:val="none"/>
        </w:rPr>
        <w:t xml:space="preserve">建筑业</w:t>
      </w:r>
      <w:r>
        <w:rPr>
          <w:rFonts w:ascii="宋体" w:hAnsi="宋体" w:eastAsia="宋体" w:cs="宋体"/>
          <w:color w:val="auto"/>
          <w:sz w:val="24"/>
          <w:highlight w:val="none"/>
        </w:rPr>
        <w:t xml:space="preserve">，供应商应为中小微企业、监狱企业、残疾人福利性单位。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3、本项目的特定资格要求：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（1）未被“信用中国”网站（www.creditchina.gov.cn）列入失信被执行人、重大税收违法案件当事人名单、政府采购严重失信行为记录名单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（3）响应单位资质：</w:t>
      </w:r>
      <w:r>
        <w:rPr>
          <w:rFonts w:hint="eastAsia" w:ascii="宋体" w:hAnsi="宋体" w:cs="宋体"/>
          <w:color w:val="auto"/>
          <w:sz w:val="24"/>
          <w:highlight w:val="none"/>
          <w:lang w:eastAsia="zh-CN"/>
        </w:rPr>
        <w:t xml:space="preserve">具有有效期内的建筑装修装饰工程专业承包二级以上资质</w:t>
      </w:r>
      <w:r>
        <w:rPr>
          <w:rFonts w:ascii="宋体" w:hAnsi="宋体" w:eastAsia="宋体" w:cs="宋体"/>
          <w:color w:val="auto"/>
          <w:sz w:val="24"/>
          <w:highlight w:val="none"/>
        </w:rPr>
        <w:t xml:space="preserve">；并具有《安全生产许可证》。</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（4）项目负责人要求：</w:t>
      </w:r>
      <w:r>
        <w:rPr>
          <w:rFonts w:hint="eastAsia" w:ascii="宋体" w:hAnsi="宋体" w:cs="宋体"/>
          <w:color w:val="auto"/>
          <w:sz w:val="24"/>
          <w:highlight w:val="none"/>
          <w:lang w:eastAsia="zh-CN"/>
        </w:rPr>
        <w:t xml:space="preserve">具有建筑工程专业注册建造师二级及以上证书</w:t>
      </w:r>
      <w:r>
        <w:rPr>
          <w:rFonts w:ascii="宋体" w:hAnsi="宋体" w:eastAsia="宋体" w:cs="宋体"/>
          <w:color w:val="auto"/>
          <w:sz w:val="24"/>
          <w:highlight w:val="none"/>
        </w:rPr>
        <w:t xml:space="preserve">，行政主管部门核发的《建筑施工企业项目负责人安全生产考核合格证书》（B类证），项目负责人须提供无在建证明。</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项目负责人无在建证明需必须满足下列条件之一：</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①项目负责人不得同时在两个或者两个以上单位受聘或者执业：A、同时在两个及以上单位签订劳动合同或交纳社会保险；B、将本人执（职）业资格证书同时注册在两个及以上单位。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三、获取采购文件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时间：自公告发布之日起5个工作日</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地点：“苏采云”政府采购交易系统 </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方式：线上获取</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售价：0.00</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四、响应文件提交</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截止时间：</w:t>
      </w:r>
      <w:r>
        <w:rPr>
          <w:rFonts w:hint="eastAsia" w:ascii="宋体" w:hAnsi="宋体" w:cs="宋体"/>
          <w:color w:val="auto"/>
          <w:sz w:val="24"/>
          <w:highlight w:val="none"/>
          <w:lang w:eastAsia="zh-CN"/>
        </w:rPr>
        <w:t xml:space="preserve">2025年1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月30日13:30</w:t>
      </w:r>
      <w:r>
        <w:rPr>
          <w:rFonts w:ascii="宋体" w:hAnsi="宋体" w:eastAsia="宋体" w:cs="宋体"/>
          <w:color w:val="auto"/>
          <w:sz w:val="24"/>
          <w:highlight w:val="none"/>
        </w:rPr>
        <w:t xml:space="preserve">（北京时间）</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地点：“苏采云”政府采购交易系统（网址：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707"/>
          <w:rFonts w:ascii="宋体" w:hAnsi="宋体" w:eastAsia="宋体" w:cs="宋体"/>
          <w:color w:val="auto"/>
          <w:sz w:val="24"/>
          <w:highlight w:val="none"/>
          <w:u w:val="single"/>
        </w:rPr>
        <w:t xml:space="preserve">http://jszfcg.jsczt.cn/</w:t>
      </w:r>
      <w:r>
        <w:rPr>
          <w:rStyle w:val="707"/>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五、开启</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时间：</w:t>
      </w:r>
      <w:r>
        <w:rPr>
          <w:rFonts w:hint="eastAsia" w:ascii="宋体" w:hAnsi="宋体" w:cs="宋体"/>
          <w:color w:val="auto"/>
          <w:sz w:val="24"/>
          <w:highlight w:val="none"/>
          <w:lang w:eastAsia="zh-CN"/>
        </w:rPr>
        <w:t xml:space="preserve">2025年1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月30日13:30</w:t>
      </w:r>
      <w:r>
        <w:rPr>
          <w:rFonts w:ascii="宋体" w:hAnsi="宋体" w:eastAsia="宋体" w:cs="宋体"/>
          <w:color w:val="auto"/>
          <w:sz w:val="24"/>
          <w:highlight w:val="none"/>
        </w:rPr>
        <w:t xml:space="preserve">（北京时间）</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地点：</w:t>
      </w:r>
      <w:r>
        <w:rPr>
          <w:rFonts w:ascii="宋体" w:hAnsi="宋体" w:eastAsia="宋体" w:cs="宋体"/>
          <w:color w:val="auto"/>
          <w:sz w:val="24"/>
          <w:highlight w:val="none"/>
        </w:rPr>
        <w:t xml:space="preserve">“苏采云”政府采购交易系统（网址：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707"/>
          <w:rFonts w:ascii="宋体" w:hAnsi="宋体" w:eastAsia="宋体" w:cs="宋体"/>
          <w:color w:val="auto"/>
          <w:sz w:val="24"/>
          <w:highlight w:val="none"/>
          <w:u w:val="single"/>
        </w:rPr>
        <w:t xml:space="preserve">http://jszfcg.jsczt.cn/</w:t>
      </w:r>
      <w:r>
        <w:rPr>
          <w:rStyle w:val="707"/>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w:t>
      </w:r>
      <w:r>
        <w:rPr>
          <w:rFonts w:ascii="宋体" w:hAnsi="宋体" w:eastAsia="宋体" w:cs="宋体"/>
          <w:color w:val="auto"/>
          <w:sz w:val="24"/>
          <w:highlight w:val="none"/>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六、公告期限</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自本公告发布之日起3个工作日。</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u w:val="none"/>
        </w:rPr>
        <w:t xml:space="preserve">七、其他补充事宜</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1、本公告同时在江苏政府采购网、苏州市政府采购网发布。</w:t>
      </w:r>
      <w:r>
        <w:rPr>
          <w:rFonts w:hint="eastAsia" w:ascii="宋体" w:hAnsi="宋体" w:cs="宋体"/>
          <w:color w:val="auto"/>
          <w:sz w:val="24"/>
          <w:highlight w:val="none"/>
          <w:lang w:eastAsia="zh-CN"/>
        </w:rPr>
        <w:t xml:space="preserve">苏州太湖新城吴中管理委员会党政办公室监管电话：（0512）65169307</w:t>
      </w:r>
      <w:r>
        <w:rPr>
          <w:rFonts w:ascii="宋体" w:hAnsi="宋体" w:eastAsia="宋体" w:cs="宋体"/>
          <w:color w:val="auto"/>
          <w:sz w:val="24"/>
          <w:highlight w:val="none"/>
        </w:rPr>
        <w:t xml:space="preserve">。</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ascii="宋体" w:hAnsi="宋体" w:eastAsia="宋体" w:cs="宋体"/>
          <w:b/>
          <w:color w:val="auto"/>
          <w:sz w:val="24"/>
          <w:highlight w:val="none"/>
        </w:rPr>
        <w:t xml:space="preserve">供应商应充分考虑到网络环境、网络带宽等风险因素，如因供应商自身原因造成的电子响应文件上传不成功由供应商自行承担全部责任。</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3、本项目获取采购文件截止日期之后仍可以下载采购文件，但截止日期之后下载的采购文件，视为非有效方式且不作为供应商权益受到损害的证明材料和依据。</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4、本项目支持政府采购合同信用融资。</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八、凡对本次采购提出询问，请按以下方式联系。</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1.采购人信息</w:t>
      </w:r>
      <w:r/>
    </w:p>
    <w:p>
      <w:pPr>
        <w:ind w:left="0" w:right="0" w:firstLine="66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苏州市吴中区人民政府太湖街道办事处</w:t>
      </w:r>
      <w:r/>
    </w:p>
    <w:p>
      <w:pPr>
        <w:ind w:left="0" w:right="0" w:firstLine="6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席东</w:t>
      </w:r>
      <w:r/>
    </w:p>
    <w:p>
      <w:pPr>
        <w:ind w:left="0" w:right="0" w:firstLine="66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0512-68560020</w:t>
      </w:r>
      <w:r/>
    </w:p>
    <w:p>
      <w:pPr>
        <w:ind w:left="0" w:right="0" w:firstLine="6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联系地址：苏州市吴中区</w:t>
      </w:r>
      <w:r>
        <w:rPr>
          <w:rFonts w:hint="eastAsia" w:ascii="宋体" w:hAnsi="宋体" w:cs="宋体"/>
          <w:color w:val="auto"/>
          <w:sz w:val="24"/>
          <w:highlight w:val="none"/>
          <w:lang w:eastAsia="zh-CN"/>
        </w:rPr>
        <w:t xml:space="preserve">龙翔路777号</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2.采购代理机构信息</w:t>
      </w:r>
      <w:r/>
    </w:p>
    <w:p>
      <w:pPr>
        <w:ind w:left="0" w:right="0" w:firstLine="6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名称：鼎信工程咨询（苏州）有限公司</w:t>
      </w:r>
      <w:r/>
    </w:p>
    <w:p>
      <w:pPr>
        <w:ind w:left="0" w:right="0" w:firstLine="6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地址：苏州市吴中区枫津南路18号南都广场1607</w:t>
      </w:r>
      <w:r/>
    </w:p>
    <w:p>
      <w:pPr>
        <w:ind w:left="0" w:right="0" w:firstLine="6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联系方式：0512-66233886</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3.项目联系方式</w:t>
      </w:r>
      <w:r/>
    </w:p>
    <w:p>
      <w:pPr>
        <w:ind w:left="0" w:right="0" w:firstLine="6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项目联系人：陈倩倩电话：0512-66233886</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3"/>
          <w:highlight w:val="none"/>
        </w:rPr>
        <w:t xml:space="preserve">第二章磋商须知</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A 说明和释义</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1.说明</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1.1本采购文件仅适用于鼎信工程咨询（苏州）有限公司组织的采购活动。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1.2本次采购活动及因本次采购产生的合同受中国法律制约和保护。</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1.3本采购文件的解释权属于鼎信工程咨询（苏州）有限公司。</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2.词语释义</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2.1采购单位：依法进行政府采购的国家机关、事业单位、团体组织。</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2.2供应商：响应磋商并且符合磋商采购文件规定资格条件和参加磋商竞争的法人、其他组织或者自然人。</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2.3响应：供应商根据采购单位发布的磋商采购文件，编制磋商响应文件并按规定参与磋商的行为。</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2.4合同：采供双方根据采购文件和成交的磋商响应文件及成交通知书规定的内容签署的以书面形式所达成的协议，包括所有的附件、附录和构成协议的所有文件。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2.5甲方（采购方）：合同中明确规定的实际购买货物和服务的法人或其他组织和自然人。</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2.6乙方（供应商）：合同中规定的向采购方提供货物和服务的法人或其他组织和自然人。</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2.7货物：系指乙方按采购文件规定，应向甲方提供的一切设备、备品、备件、工具、手册及其它有关技术资料和材料。</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2.9知识产权：指专利权、商标权、著作权等无形财产专有权的统称。</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2.10天：日历天。</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2.11交货地点：合同中明确约定的乙方提交的货物和服务最终到达地点。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2.12合同价款：根据合同规定，乙方在正确的履行合同义务后甲方应支付乙方的价款。</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2.13产地：货物开采、生长、生产、最终制造、加工或提供服务的来源地。</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2.14不可抗力：不能预见、不能避免并且不能克服的客观情况。</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2.15实质响应：满足有关本次采购标的、数量、质量、价款或者报酬、履行期限、履行地点和方式、违约责任和解决争议方法等要求。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2.16进口产品：通过中国海关报关验放进入中国境内且产自关境外的产品。</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2.17书面形式：指书面文字、合同书、信件和传真等可以有形地表现所载内容的形式。</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B 供应商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3.合格磋商供应商的一般条件</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3.1能够独立承担民事责任的能力（供应商营业执照及法人身份证明文件）；</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3.2具有良好的商业信誉和健全的财务会计制度证明。包括但不限于最近一期经审计的财务报告，其他组织、自然人及成立未满一年的法人应提供银行出具的资信证明；</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3.3具有履行合同所必需的设备和专业技术能力，（根据《中华人民共和国企业法人登记管理条例》第十三条及相关部门规章的规定，企业法人性质的政府采购供应商应在经工商管理部门核准登记注册的经营范围内参与经营活动）；</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3.4有依法缴纳税收和社会保障资金的良好记录（合理期限内依法缴纳税收的凭据，社会保险登记证或依法缴纳社会保险的凭据）；</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3.5参加政府采购活动前三年内，在经营活动中没有重大违法记录（书面声明函）；</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3.6法律、行政法规规定的其他条件；</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3.7合格磋商供应商的特殊条件：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3.7.1未被“信用中国”网站（www.creditchina.gov.cn）列入失信被执行人、重大税收违法案件当事人名单、政府采购严重失信行为记录名单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3.7.2单位负责人为同一人或者存在直接控股、管理关系的不同供应商（包含法定代表人为同一个人的两个及两个以上法人，母公司、全资子公司及其控股公司），不得参加同一合同项下的政府采购活动。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3.7.3响应单位资质：</w:t>
      </w:r>
      <w:r>
        <w:rPr>
          <w:rFonts w:hint="eastAsia" w:ascii="宋体" w:hAnsi="宋体" w:cs="宋体"/>
          <w:color w:val="auto"/>
          <w:sz w:val="24"/>
          <w:highlight w:val="none"/>
          <w:lang w:eastAsia="zh-CN"/>
        </w:rPr>
        <w:t xml:space="preserve">具有有效期内的建筑装修装饰工程专业承包二级以上资质</w:t>
      </w:r>
      <w:r>
        <w:rPr>
          <w:rFonts w:ascii="宋体" w:hAnsi="宋体" w:eastAsia="宋体" w:cs="宋体"/>
          <w:color w:val="auto"/>
          <w:sz w:val="24"/>
          <w:highlight w:val="none"/>
        </w:rPr>
        <w:t xml:space="preserve">；并具有《安全生产许可证》。</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3.7.4项目负责人要求：</w:t>
      </w:r>
      <w:r>
        <w:rPr>
          <w:rFonts w:hint="eastAsia" w:ascii="宋体" w:hAnsi="宋体" w:cs="宋体"/>
          <w:color w:val="auto"/>
          <w:sz w:val="24"/>
          <w:highlight w:val="none"/>
          <w:lang w:eastAsia="zh-CN"/>
        </w:rPr>
        <w:t xml:space="preserve">具有建筑工程专业注册建造师二级及以上证书</w:t>
      </w:r>
      <w:r>
        <w:rPr>
          <w:rFonts w:ascii="宋体" w:hAnsi="宋体" w:eastAsia="宋体" w:cs="宋体"/>
          <w:color w:val="auto"/>
          <w:sz w:val="24"/>
          <w:highlight w:val="none"/>
        </w:rPr>
        <w:t xml:space="preserve">，行政主管部门核发的《建筑施工企业项目负责人安全生产考核合格证书》（B类证），项目负责人须提供无在建证明。</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项目负责人无在建证明需必须满足下列条件之一：</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①项目负责人不得同时在两个或者两个以上单位受聘或者执业：A、同时在两个及以上单位签订劳动合同或交纳社会保险；B、将本人执（职）业资格证书同时注册在两个及以上单位。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4.供应商代表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4.1指全权代表供应商参加磋商采购活动并签署磋商响应文件的人，如果磋商供应商代表不是法人代表，须持有《法定代表人授权委托书》（详见附件格式）。 </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5.磋商费用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5.1无论磋商过程中的做法和结果如何，磋商供应商自行承担所有与参加磋商有关的全部费用。</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6.磋商采购文件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7.采购文件的修改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7.1在递交（上传）磋商响应文件截止时间前，采购单位无论出于自己的考虑，还是出于对供应商提问的澄清，均可对采购文件用更正公告的方式进行修改。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7.2采购单位对采购文件的修改，将以网上公告形式通知已购买采购文件的磋商供应商。更正公告将作为采购文件的组成部分，对所有磋商供应商有约束力。</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8.采购文件提疑</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ascii="宋体" w:hAnsi="宋体" w:eastAsia="宋体" w:cs="宋体"/>
          <w:b/>
          <w:color w:val="auto"/>
          <w:sz w:val="24"/>
          <w:highlight w:val="none"/>
        </w:rPr>
        <w:t xml:space="preserve">投标供应商确认函</w:t>
      </w:r>
      <w:r>
        <w:rPr>
          <w:rFonts w:ascii="宋体" w:hAnsi="宋体" w:eastAsia="宋体" w:cs="宋体"/>
          <w:color w:val="auto"/>
          <w:sz w:val="24"/>
          <w:highlight w:val="none"/>
        </w:rPr>
        <w:t xml:space="preserve">》）与质疑函一起递交，否则不予受理。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8.3本次采购文件要求供应商在法定质疑期内一次性提出针对同一采购程序环节的质疑。</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8.4供应商提出质疑应当提交质疑函和必要的证明材料。质疑函应当包括下列内容：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8.4.1供应商的姓名或者名称（以营业执照副本复印件为准）、地址、邮编、联系人及联系电话；</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8.4.2质疑项目的名称、编号；</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8.4.3具体、明确的质疑事项和与质疑事项相关的请求；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8.4.4事实依据；</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8.4.5必要的法律依据；</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8.4.6提出质疑的日期。</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8.4.7供应商参加投标确认函。</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8.4.8接收质疑函的方式：书面形式（当场送达或邮寄方式）。</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质疑联系人：陈倩倩</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联系电话：0512-66233886</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通讯地址：苏州市吴中区枫津南路18号南都广场1607</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9.提示与要求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9.2无论是否递交（上传）磋商响应文件，供应商都应将采购文件及以后的所有通知、文件等视为保密文件。</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10.响应文件计量单位和使用文字</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10.1响应文件中所使用的计量单位，除采购文件中有特殊要求外，均应使用中华人民共和国法定计量单位。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 响应文件组成（部分格式见第六章）</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目录</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11.1报价部分</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11.1.1开标一览表(按系统内统一格式)；</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11.1.2工程量清单报价表；</w:t>
      </w:r>
      <w:r/>
    </w:p>
    <w:p>
      <w:pPr>
        <w:ind w:left="0" w:right="0" w:firstLine="482"/>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11.2资格性要求</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11.2.1具有独立承担民事责任的能力证明。包括法人或者其他组织的营业执照等证明文件，自然人的身份证明；</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11.2.2具有良好的商业信誉和健全的财务会计制度证明。包括但不限于最近一期经审计的财务报告，其他组织、自然人及成立未满一年的法人应提供银行出具的资信证明。</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11.2.3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11.2.4有依法缴纳税收和社会保障资金的良好记录。如税务登记证（如有）和合理期限内依法缴纳税收的凭据，社会保险登记证（如有）和合理期限内依法缴纳社会保险的凭据（专用收据或社会保险缴纳清单）。</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11.2.5参加政府采购活动前三年内，在经营活动中没有重大违法记录的书面声明函；</w:t>
      </w:r>
      <w:r/>
    </w:p>
    <w:p>
      <w:pPr>
        <w:ind w:left="0" w:right="0" w:firstLine="480"/>
        <w:keepLines w:val="0"/>
        <w:keepNext w:val="0"/>
        <w:pageBreakBefore w:val="0"/>
        <w:spacing w:before="240" w:after="24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11.2.6法律、行政法规规定的其他条件；</w:t>
      </w:r>
      <w:r/>
    </w:p>
    <w:p>
      <w:pPr>
        <w:ind w:left="0" w:right="0" w:firstLine="480"/>
        <w:keepLines w:val="0"/>
        <w:keepNext w:val="0"/>
        <w:pageBreakBefore w:val="0"/>
        <w:spacing w:before="240" w:after="24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11.2.7《中小企业声明函》或《残疾人福利性单位声明函》或由省级以上监狱管理局、戒毒管理局（含新疆生产建设兵团）出具的属于监狱企业的证明文件</w:t>
      </w:r>
      <w:r/>
    </w:p>
    <w:p>
      <w:pPr>
        <w:ind w:left="0" w:right="0" w:firstLine="480"/>
        <w:jc w:val="both"/>
        <w:keepLines w:val="0"/>
        <w:keepNext w:val="0"/>
        <w:pageBreakBefore w:val="0"/>
        <w:spacing w:before="210" w:after="16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11.2.8未被“信用中国”网站（www.creditchina.gov.cn）列入失信被执行人、重大税收违法案件当事人名单、政府采购严重失信行为记录名单</w:t>
      </w:r>
      <w:r/>
    </w:p>
    <w:p>
      <w:pPr>
        <w:ind w:left="0" w:right="0" w:firstLine="480"/>
        <w:jc w:val="both"/>
        <w:keepLines w:val="0"/>
        <w:keepNext w:val="0"/>
        <w:pageBreakBefore w:val="0"/>
        <w:spacing w:before="210" w:after="160"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11.2.9单位负责人为同一人或者存在直接控股、管理关系的不同供应商（包含法定代表人为同一个人的两个及两个以上法人，母公司、全资子公司及其控股公司），不得参加同一合同项下的政府采购活动。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11.2.10响应单位资质：</w:t>
      </w:r>
      <w:r>
        <w:rPr>
          <w:rFonts w:hint="eastAsia" w:ascii="宋体" w:hAnsi="宋体" w:cs="宋体"/>
          <w:color w:val="auto"/>
          <w:sz w:val="24"/>
          <w:highlight w:val="none"/>
          <w:lang w:eastAsia="zh-CN"/>
        </w:rPr>
        <w:t xml:space="preserve">具有有效期内的建筑装修装饰工程专业承包二级以上资质</w:t>
      </w:r>
      <w:r>
        <w:rPr>
          <w:rFonts w:ascii="宋体" w:hAnsi="宋体" w:eastAsia="宋体" w:cs="宋体"/>
          <w:color w:val="auto"/>
          <w:sz w:val="24"/>
          <w:highlight w:val="none"/>
        </w:rPr>
        <w:t xml:space="preserve">；，并具有《安全生产许可证》。</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11.2.11项目负责人要求：</w:t>
      </w:r>
      <w:r>
        <w:rPr>
          <w:rFonts w:hint="eastAsia" w:ascii="宋体" w:hAnsi="宋体" w:cs="宋体"/>
          <w:color w:val="auto"/>
          <w:sz w:val="24"/>
          <w:highlight w:val="none"/>
          <w:lang w:eastAsia="zh-CN"/>
        </w:rPr>
        <w:t xml:space="preserve">具有建筑工程专业注册建造师二级及以上证书</w:t>
      </w:r>
      <w:r>
        <w:rPr>
          <w:rFonts w:ascii="宋体" w:hAnsi="宋体" w:eastAsia="宋体" w:cs="宋体"/>
          <w:color w:val="auto"/>
          <w:sz w:val="24"/>
          <w:highlight w:val="none"/>
        </w:rPr>
        <w:t xml:space="preserve">，行政主管部门核发的《建筑施工企业项目负责人安全生产考核合格证书》（B类证），项目负责人须提供无在建证明。</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项目负责人无在建证明需必须满足下列条件之一：</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①项目负责人不得同时在两个或者两个以上单位受聘或者执业：A、同时在两个及以上单位签订劳动合同或交纳社会保险；B、将本人执（职）业资格证书同时注册在两个及以上单位。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2"/>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11.3符合性要求</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11.3.1磋商响应函；</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11.3.2关于资格文件的声明函；</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11.3.3磋商响应单位基本情况表；</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11.3.4磋商响应单位《营业执照》副本扫描件；</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11.3.5磋商响应单位法定代表人身份证扫描件；</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11.3.6法定代表人授权委托书及磋商响应单位代理人身份证扫描件（如有授权）；</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11.3.7施工组织机构人员名单</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11.4综合评标文件</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11.4.1其它有关证明文件；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w:t>
      </w:r>
      <w:r>
        <w:rPr>
          <w:rFonts w:ascii="宋体" w:hAnsi="宋体" w:eastAsia="宋体" w:cs="宋体"/>
          <w:b/>
          <w:color w:val="auto"/>
          <w:sz w:val="24"/>
          <w:highlight w:val="none"/>
        </w:rPr>
        <w:t xml:space="preserve">磋商供应商必须上传上述“11.1-11.3.7”款规定的资料。否则，磋商响应文件将被认定为未实质性响应。</w:t>
      </w:r>
      <w:r/>
    </w:p>
    <w:p>
      <w:pPr>
        <w:ind w:left="0" w:right="0" w:firstLine="422"/>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注：（1）以上11.2.1-11.2.11为资格审查要求提供的材料，是作为对供应商资格审查、质疑身份认定的依据，响应供应商必须提供并加盖电子公章。否则，磋商响应文件将被认定为不符合资格审查要求。</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（2）以上11.3.1-11.3.7为符合性审查须提供的资料，响应供应商必须提供并加盖电子公章。否则，磋商响应文件将被认定为未实质性响应。</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（3）制作电子响应文件时必须与响应文件制作软件目录一一对应，将相关资料上传至相应模块。</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（4）磋商响应文件编制要求：</w:t>
      </w:r>
      <w:r>
        <w:rPr>
          <w:rFonts w:ascii="宋体" w:hAnsi="宋体" w:eastAsia="宋体" w:cs="宋体"/>
          <w:color w:val="auto"/>
          <w:sz w:val="24"/>
          <w:highlight w:val="none"/>
        </w:rPr>
        <w:t xml:space="preserve">本项目采用电子招投标形式，请供应商按照《苏采云系统供应商操作手册》进行制作、上传电子响应文件。</w:t>
      </w:r>
      <w:r>
        <w:rPr>
          <w:rFonts w:ascii="宋体" w:hAnsi="宋体" w:eastAsia="宋体" w:cs="宋体"/>
          <w:b/>
          <w:color w:val="auto"/>
          <w:sz w:val="24"/>
          <w:highlight w:val="none"/>
        </w:rPr>
        <w:t xml:space="preserve">电子响应文件制作完成后请于响应文件递交截止时间前成功上传至“苏采云”系统，否则视为放弃参加该采购项目。</w:t>
      </w:r>
      <w:r>
        <w:rPr>
          <w:rFonts w:ascii="宋体" w:hAnsi="宋体" w:eastAsia="宋体" w:cs="宋体"/>
          <w:color w:val="auto"/>
          <w:sz w:val="24"/>
          <w:highlight w:val="none"/>
        </w:rPr>
        <w:t xml:space="preserve">供应商应充分考虑到网络环境、网络带宽等风险因素，如因供应商自身原因造成的电子响应文件上传不成功由供应商自行承担全部责任。</w:t>
      </w:r>
      <w:r/>
    </w:p>
    <w:p>
      <w:pPr>
        <w:ind w:left="0" w:right="0" w:firstLine="48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left="0" w:right="0" w:firstLine="48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（6）在“苏彩云”系统中出现供应商“机器码一致”情形的，响应文件将被拒绝。</w:t>
      </w:r>
      <w:r/>
    </w:p>
    <w:p>
      <w:pPr>
        <w:ind w:left="0" w:right="0" w:firstLine="48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7）项目评标结束后所有供应商须向采购代理机构提交响应文件纸质版，份数为三份（一正二副）。纸质响应文件与上传的电子响应文件一致，用于存档备案。（邮寄地址苏州市吴中区枫津南路18号南都广场1607，联系人：陈倩倩，联系电话：0512-66233886）</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12.报价（编制）要求的说明</w:t>
      </w:r>
      <w:r/>
    </w:p>
    <w:p>
      <w:pPr>
        <w:ind w:left="0" w:right="0" w:firstLine="408"/>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12.1根据提供的磋商文件、工程量清单及有关资料单独编制相关项目实施的磋商报价并汇总填入《已标价工程量清单》。</w:t>
      </w:r>
      <w:r/>
    </w:p>
    <w:p>
      <w:pPr>
        <w:ind w:left="0" w:right="0" w:firstLine="408"/>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12.2《已标价工程量清单》中标的物顺序和数量均应按本磋商文件提供的工程量清单项目编码、项目名称、项目特征、计量单位、工程量及不可竞争费用编制。如发现响应报价中有错算现象，一旦成交，磋商供应商自行承担错算这部分的经济损失</w:t>
      </w:r>
      <w:r/>
    </w:p>
    <w:p>
      <w:pPr>
        <w:ind w:left="0" w:right="0" w:firstLine="408"/>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本项目采用线上二次报价：</w:t>
      </w:r>
      <w:r/>
    </w:p>
    <w:p>
      <w:pPr>
        <w:ind w:left="0" w:right="0" w:firstLine="408"/>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登录苏采云系统，评审组长发起最后报价，开标大厅会显示“立即报价”界面，点击【确认报价】提交流程至签章环节，供应商点击签章按钮，签章完成后可进行提交。</w:t>
      </w:r>
      <w:r>
        <w:rPr>
          <w:rFonts w:ascii="宋体" w:hAnsi="宋体" w:eastAsia="宋体" w:cs="宋体"/>
          <w:b/>
          <w:color w:val="auto"/>
          <w:sz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8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进入项目评审流程后，建议各供应商法定代表人或授权委托人始终保持通讯顺畅，时刻关注不见面开标大厅，不离开不见面开标大厅。</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12.2磋商供应商应对采购文件内所要采购的全部内容进行总价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12.3一项内容只允许一个报价，采购单位不接受任何有选择性的报价。</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12.4磋商响应文件报价中的单价和总价全部采用人民币表示，除非合同的特殊条款另有规定。</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13.保证金</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根据《江苏省财政厅文件苏财购【2020】52号》相关规定，本项目无须支付保证金。</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14.响应文件的有效期</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14.1自磋商响应文件递交（上传）截止之日起</w:t>
      </w:r>
      <w:r>
        <w:rPr>
          <w:rFonts w:ascii="宋体" w:hAnsi="宋体" w:eastAsia="宋体" w:cs="宋体"/>
          <w:color w:val="auto"/>
          <w:sz w:val="24"/>
          <w:highlight w:val="none"/>
          <w:u w:val="single"/>
        </w:rPr>
        <w:t xml:space="preserve">45</w:t>
      </w:r>
      <w:r>
        <w:rPr>
          <w:rFonts w:ascii="宋体" w:hAnsi="宋体" w:eastAsia="宋体" w:cs="宋体"/>
          <w:color w:val="auto"/>
          <w:sz w:val="24"/>
          <w:highlight w:val="none"/>
        </w:rPr>
        <w:t xml:space="preserve">天内，磋商响应文件应保持有效。有效期短于这个规定期限的响应，将被拒绝。</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15.截止时间</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15.1响应文件必须在递交（上传）截止时间前上传系统。</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15.2采购单位推迟磋商截止时间时，应以网上公告形式，通知所有供应商。在这种情况下，采购单位和供应商的权利和义务将受到新的截止期的约束。</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15.3在递交（上传）截止时间以后递交（上传）的磋商响应文件，采购单位将拒绝接收。</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16. 磋商程序</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16.1采购代理机构按本须知规定的时间、地点主持磋商采购活动。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16.3由磋商小组审查供应商解密的响应文件。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left="0" w:right="0" w:firstLine="48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eastAsia="宋体" w:cs="宋体"/>
          <w:color w:val="auto"/>
          <w:sz w:val="24"/>
          <w:highlight w:val="none"/>
        </w:rPr>
        <w:t xml:space="preserve">(</w:t>
      </w:r>
      <w:r>
        <w:rPr>
          <w:rFonts w:ascii="宋体" w:hAnsi="宋体" w:eastAsia="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16.6对于通过资格审查和符合性审查的供应商，磋商小组所有成员集中与单一供应商分别进行磋商，并给予所有参加磋商的供应商平等的磋商机会。</w:t>
      </w:r>
      <w:r>
        <w:rPr>
          <w:rFonts w:ascii="宋体" w:hAnsi="宋体" w:eastAsia="宋体" w:cs="宋体"/>
          <w:b/>
          <w:color w:val="auto"/>
          <w:sz w:val="24"/>
          <w:highlight w:val="none"/>
        </w:rPr>
        <w:t xml:space="preserve">磋商小组通过“苏采云”系统向供应商发布“磋商函”，供应商应当按照要求在“苏采云”系统提交“磋商响应函”并加盖CA电子公章。</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16.8供应商应当按照采购文件的变动情况和磋商小组的要求，各供应商应及时关注【评审】环节等待询标澄清进行回复。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16.9磋商结束后，</w:t>
      </w:r>
      <w:r>
        <w:rPr>
          <w:rFonts w:ascii="宋体" w:hAnsi="宋体" w:eastAsia="宋体" w:cs="宋体"/>
          <w:b/>
          <w:color w:val="auto"/>
          <w:sz w:val="24"/>
          <w:highlight w:val="none"/>
        </w:rPr>
        <w:t xml:space="preserve">磋商小组将在“苏采云”系统向所有实质性响应的供应商发布“最后报价要求函”及最后报价格式表，要求所有实质性响应的供应商在规定时间内提交最后报价。</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16.10经磋商确定最终采购需求和提交最后报价的供应商后，由磋商小组采用综合评分法对提交最后报价的供应商的响应文件和最后报价进行综合评分。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16.11磋商小组根据磋商成交原则确定成交供应商，并将结果通知所有参加磋商的供应商。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16.12如磋商过程中出现本采购文件未尽事宜，由磋商小组根据政府采购有关法律、法规讨论决定。</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17.项目的终止</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17.1出现下列情形之一的，将终止竞争性磋商采购活动：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17.1.1因情况变化，不再符合规定的竞争性磋商采购方式适用情形的；</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17.1.2出现影响采购公正的违法、违规行为的；</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17.1.3在采购过程中符合要求的供应商或者报价未超过采购预算的供应商不足3家的；</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17.1.4在采购活动中因重大变故，采购任务取消的。</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18.评审内容的保密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18.1磋商开始后，直到宣布授予成交单位合同为止，凡属于审查、澄清、评价和比较磋商响应文件的所有资料，有关授予合同的信息都不应向磋商供应商或与评审无关的其他人泄露。</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18.2在磋商响应文件的审查、澄清、评价和比较以及授予合同的过程中，磋商供应商对采购单位和磋商小组施加影响的任何行为，都将取消其成交资格。</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18.3在评审期间，采购单位将通过指定联络人与磋商供应商进行联系。</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19.成交单位的确认</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19.1磋商小组根据磋商供应商资格审查情况，对其响应文件进行评价和比较，按照评审办法和标准进行评审，并按采购单位的委托向采购单位推荐成交候选单位。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19.2</w:t>
      </w:r>
      <w:r>
        <w:rPr>
          <w:rFonts w:ascii="宋体" w:hAnsi="宋体" w:eastAsia="宋体" w:cs="宋体"/>
          <w:color w:val="auto"/>
          <w:sz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19.3由采购人授权评审委员会在候选供应商名单中直接确定成交供应商。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20.合同授予标准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20.1采购单位将把合同授予其磋商响应文件在实质上响应采购文件要求和按本须知规定评选出的供应商。确定为成交的供应商必须具有实施本合同的能力和资源。</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21.成交通知书</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21.1确定出成交单位后磋商响应文件有效期截止前，采购单位将以书面形式通知成交的磋商供应商其响应被接受。在成交通知书中给出成交单位的成交标价、交货时间、质量标准和有关合同签订的日期和地点。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21.2成交通知书将成为合同的组成部分。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21.3采购单位对未成交单位不承担解释未成交原因的义务。</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21.4在发放《中标（成交）通知书》的同时，向参与项目评审的未中标（成交）供应商发放《未中标（成交）通知书》，以</w:t>
      </w:r>
      <w:r>
        <w:rPr>
          <w:rFonts w:ascii="宋体" w:hAnsi="宋体" w:eastAsia="宋体" w:cs="宋体"/>
          <w:color w:val="auto"/>
          <w:sz w:val="24"/>
          <w:highlight w:val="none"/>
          <w:u w:val="single"/>
        </w:rPr>
        <w:t xml:space="preserve">电子邮件、</w:t>
      </w:r>
      <w:r>
        <w:rPr>
          <w:rFonts w:ascii="宋体" w:hAnsi="宋体" w:eastAsia="宋体" w:cs="宋体"/>
          <w:color w:val="auto"/>
          <w:sz w:val="24"/>
          <w:highlight w:val="none"/>
        </w:rPr>
        <w:t xml:space="preserve">纸质寄送等与投标（响应）供应商约定的方式书面告知该未中标（成交）供应商的评审得分与排名，未中标（成交）供应商未按约定的时间和方式获取告知信息的，视为自动放弃并自行承担相应后果。</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21.5各响应单位应在响应文件醒目位置注明电子邮箱号，如未按上述要求提供邮箱，视为自动放弃并自行承担相应后果。</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21.6成交单位应按成交通知书中规定的时间和地点，由法定代表人或代理人与甲方代表签订合同。否则按放弃处理。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21.7签订合同及合同条款应以采购文件和成交单位的磋商响应文件及其澄清文件为依据。</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22.服务费</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22.1成交单位须按前附表的规定按其预算金额计算并支付服务费，该费用应在领取成交通知书时付清。</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23.履约保证金</w:t>
      </w:r>
      <w:r>
        <w:rPr>
          <w:rFonts w:ascii="宋体" w:hAnsi="宋体" w:eastAsia="宋体" w:cs="宋体"/>
          <w:color w:val="auto"/>
          <w:sz w:val="24"/>
          <w:highlight w:val="none"/>
        </w:rPr>
        <w:t xml:space="preserve">：</w:t>
      </w:r>
      <w:r>
        <w:rPr>
          <w:rFonts w:ascii="宋体" w:hAnsi="宋体" w:eastAsia="宋体" w:cs="宋体"/>
          <w:b/>
          <w:color w:val="auto"/>
          <w:sz w:val="24"/>
          <w:highlight w:val="none"/>
        </w:rPr>
        <w:t xml:space="preserve">详见合同要求</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24.未尽事宜</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按《中华人民共和国政府采购法》及其他有关的法律法规的规定执行。</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3"/>
          <w:highlight w:val="none"/>
        </w:rPr>
        <w:t xml:space="preserve">第三章 采购内容</w:t>
      </w:r>
      <w:r/>
    </w:p>
    <w:p>
      <w:pPr>
        <w:ind w:left="0" w:right="0" w:firstLine="480"/>
        <w:jc w:val="both"/>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鼎信工程咨询（苏州）有限公司受</w:t>
      </w:r>
      <w:r>
        <w:rPr>
          <w:rFonts w:hint="eastAsia" w:ascii="宋体" w:hAnsi="宋体" w:cs="宋体"/>
          <w:color w:val="auto"/>
          <w:sz w:val="24"/>
          <w:highlight w:val="none"/>
          <w:lang w:eastAsia="zh-CN"/>
        </w:rPr>
        <w:t xml:space="preserve">苏州市吴中区人民政府太湖街道办事处</w:t>
      </w:r>
      <w:r>
        <w:rPr>
          <w:rFonts w:ascii="宋体" w:hAnsi="宋体" w:eastAsia="宋体" w:cs="宋体"/>
          <w:color w:val="auto"/>
          <w:sz w:val="24"/>
          <w:highlight w:val="none"/>
        </w:rPr>
        <w:t xml:space="preserve">的委托，就其所需</w:t>
      </w:r>
      <w:r>
        <w:rPr>
          <w:rFonts w:hint="eastAsia" w:ascii="宋体" w:hAnsi="宋体" w:cs="宋体"/>
          <w:color w:val="auto"/>
          <w:sz w:val="24"/>
          <w:highlight w:val="none"/>
          <w:lang w:eastAsia="zh-CN"/>
        </w:rPr>
        <w:t xml:space="preserve">太湖街道社会治安综合治理中心装修项目</w:t>
      </w:r>
      <w:r>
        <w:rPr>
          <w:rFonts w:ascii="宋体" w:hAnsi="宋体" w:eastAsia="宋体" w:cs="宋体"/>
          <w:color w:val="auto"/>
          <w:sz w:val="24"/>
          <w:highlight w:val="none"/>
        </w:rPr>
        <w:t xml:space="preserve">采用竞争性磋商方式进行采购，欢迎有资格的供应商前来参加本次磋商采购活动。</w:t>
      </w:r>
      <w:r/>
    </w:p>
    <w:p>
      <w:pPr>
        <w:ind w:left="0" w:right="0" w:firstLine="0"/>
        <w:jc w:val="both"/>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一、项目编号：</w:t>
      </w:r>
      <w:r>
        <w:rPr>
          <w:rFonts w:hint="eastAsia" w:ascii="宋体" w:hAnsi="宋体" w:cs="宋体"/>
          <w:color w:val="auto"/>
          <w:sz w:val="24"/>
          <w:highlight w:val="none"/>
          <w:lang w:eastAsia="zh-CN"/>
        </w:rPr>
        <w:t xml:space="preserve">JSZC-320506-SZDX-C2025-0023</w:t>
      </w:r>
      <w:r/>
    </w:p>
    <w:p>
      <w:pPr>
        <w:ind w:left="0" w:right="0" w:firstLine="0"/>
        <w:jc w:val="both"/>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二、项目内容：</w:t>
      </w:r>
      <w:r>
        <w:rPr>
          <w:rFonts w:hint="eastAsia" w:ascii="宋体" w:hAnsi="宋体" w:cs="宋体"/>
          <w:color w:val="auto"/>
          <w:sz w:val="24"/>
          <w:highlight w:val="none"/>
          <w:lang w:eastAsia="zh-CN"/>
        </w:rPr>
        <w:t xml:space="preserve">太湖街道社会治安综合治理中心装修项目</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三、项目内容及要求：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项目概况：</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1、为保障项目正常运行，须配备至少项目经理1人，技术负责人1人，其余项目组人员根据实际情况在磋商响应文件中自行配备。</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2、承包方式：包工包料</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供应商在“苏采云”系统中操作成功参与项目后，可在本项目界面中下载工程量清单，如供应商在系统中未获取工程量清单，可拨打电话0512-66233886工作日上午9:00-下午16:30（北京时间）告知采购代理机构该单位的邮箱号获取。</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3、施工要求：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（1）成交单位应组织成立施工项目组</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（2）施工质量应符合现行国家技术、施工及验收规范规程，如有对施工工艺的特殊要求，按图纸及国家有关规定执行。</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（3）工程质量要求：合格；</w:t>
      </w:r>
      <w:r/>
    </w:p>
    <w:p>
      <w:pPr>
        <w:ind w:left="0" w:right="0" w:firstLine="480"/>
        <w:jc w:val="both"/>
        <w:keepLines w:val="0"/>
        <w:keepNext w:val="0"/>
        <w:pageBreakBefore w:val="0"/>
        <w:spacing w:before="210" w:after="16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（4）项目组人员配置符合国家及行业相关规定。</w:t>
      </w:r>
      <w:r/>
    </w:p>
    <w:p>
      <w:pPr>
        <w:ind w:left="0" w:right="0" w:firstLine="480"/>
        <w:jc w:val="both"/>
        <w:keepLines w:val="0"/>
        <w:keepNext w:val="0"/>
        <w:pageBreakBefore w:val="0"/>
        <w:spacing w:before="210" w:after="160" w:line="360" w:lineRule="auto"/>
        <w:widowControl/>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验收标准：符合采购文件规定的要求，由采购单位组织人员验收。</w:t>
      </w:r>
      <w:r>
        <w:rPr>
          <w:rFonts w:hint="eastAsia" w:ascii="宋体" w:hAnsi="宋体" w:eastAsia="宋体" w:cs="宋体"/>
          <w:color w:val="auto"/>
          <w:sz w:val="24"/>
          <w:szCs w:val="24"/>
          <w:highlight w:val="none"/>
        </w:rPr>
        <w:t xml:space="preserve">（具体验收要求参照苏财规</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2024】7号文）</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四、项目条件</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1、本工程项目按照现行法律、法规和部门规章，通过磋商方式，选定承包人。</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2、现场条件：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2.1施工现场平整情况：</w:t>
      </w:r>
      <w:r>
        <w:rPr>
          <w:rFonts w:ascii="宋体" w:hAnsi="宋体" w:eastAsia="宋体" w:cs="宋体"/>
          <w:color w:val="auto"/>
          <w:sz w:val="24"/>
          <w:highlight w:val="none"/>
          <w:u w:val="single"/>
        </w:rPr>
        <w:t xml:space="preserve">现有原状</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2.2场内外道路：</w:t>
      </w:r>
      <w:r>
        <w:rPr>
          <w:rFonts w:ascii="宋体" w:hAnsi="宋体" w:eastAsia="宋体" w:cs="宋体"/>
          <w:color w:val="auto"/>
          <w:sz w:val="24"/>
          <w:highlight w:val="none"/>
          <w:u w:val="single"/>
        </w:rPr>
        <w:t xml:space="preserve">已到位</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2.3施工用电：</w:t>
      </w:r>
      <w:r>
        <w:rPr>
          <w:rFonts w:ascii="宋体" w:hAnsi="宋体" w:eastAsia="宋体" w:cs="宋体"/>
          <w:color w:val="auto"/>
          <w:sz w:val="24"/>
          <w:highlight w:val="none"/>
          <w:u w:val="single"/>
        </w:rPr>
        <w:t xml:space="preserve">已到位 </w:t>
      </w:r>
      <w:r/>
    </w:p>
    <w:p>
      <w:pPr>
        <w:ind w:left="0" w:right="0" w:firstLine="473"/>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3、发包范围：</w:t>
      </w:r>
      <w:r>
        <w:rPr>
          <w:rFonts w:hint="eastAsia" w:ascii="宋体" w:hAnsi="宋体" w:cs="宋体"/>
          <w:color w:val="auto"/>
          <w:sz w:val="24"/>
          <w:highlight w:val="none"/>
          <w:u w:val="single"/>
          <w:lang w:eastAsia="zh-CN"/>
        </w:rPr>
        <w:t xml:space="preserve">太湖街道社会治安综合治理中心装修项目</w:t>
      </w:r>
      <w:r/>
    </w:p>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4、工期要求：</w:t>
      </w:r>
      <w:r>
        <w:rPr>
          <w:rFonts w:hint="eastAsia" w:ascii="宋体" w:hAnsi="宋体" w:cs="宋体"/>
          <w:color w:val="auto"/>
          <w:sz w:val="24"/>
          <w:highlight w:val="none"/>
          <w:u w:val="single"/>
          <w:lang w:eastAsia="zh-CN"/>
        </w:rPr>
        <w:t xml:space="preserve">45日历天</w:t>
      </w:r>
      <w:r>
        <w:rPr>
          <w:rFonts w:hint="eastAsia" w:ascii="宋体" w:hAnsi="宋体" w:eastAsia="宋体" w:cs="宋体"/>
          <w:color w:val="auto"/>
          <w:sz w:val="24"/>
          <w:highlight w:val="none"/>
          <w:u w:val="single"/>
          <w:lang w:eastAsia="zh-CN"/>
        </w:rPr>
        <w:t xml:space="preserve">（具体开工日期以采购人通知为准）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5、质量要求：</w:t>
      </w:r>
      <w:r>
        <w:rPr>
          <w:rFonts w:ascii="宋体" w:hAnsi="宋体" w:eastAsia="宋体" w:cs="宋体"/>
          <w:color w:val="auto"/>
          <w:sz w:val="24"/>
          <w:highlight w:val="none"/>
          <w:u w:val="single"/>
        </w:rPr>
        <w:t xml:space="preserve">合格</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6、磋商费用：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磋商供应商承担其编制及递交响应文件的一切费用，无论结果如何，发包人对上述费用不负任何责任。</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五、报价要求：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1、计价方式：本工程项目采用下列第</w:t>
      </w:r>
      <w:r>
        <w:rPr>
          <w:rFonts w:ascii="宋体" w:hAnsi="宋体" w:eastAsia="宋体" w:cs="宋体"/>
          <w:color w:val="auto"/>
          <w:sz w:val="24"/>
          <w:highlight w:val="none"/>
          <w:u w:val="single"/>
        </w:rPr>
        <w:t xml:space="preserve">（1） </w:t>
      </w:r>
      <w:r>
        <w:rPr>
          <w:rFonts w:ascii="宋体" w:hAnsi="宋体" w:eastAsia="宋体" w:cs="宋体"/>
          <w:color w:val="auto"/>
          <w:sz w:val="24"/>
          <w:highlight w:val="none"/>
        </w:rPr>
        <w:t xml:space="preserve">种计价方式。</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（1）工程量清单计价方式</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（2）计价表计价方式</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2、报价方式：本工程项目采用下列第</w:t>
      </w:r>
      <w:r>
        <w:rPr>
          <w:rFonts w:ascii="宋体" w:hAnsi="宋体" w:eastAsia="宋体" w:cs="宋体"/>
          <w:color w:val="auto"/>
          <w:sz w:val="24"/>
          <w:highlight w:val="none"/>
          <w:u w:val="single"/>
        </w:rPr>
        <w:t xml:space="preserve">（2） </w:t>
      </w:r>
      <w:r>
        <w:rPr>
          <w:rFonts w:ascii="宋体" w:hAnsi="宋体" w:eastAsia="宋体" w:cs="宋体"/>
          <w:color w:val="auto"/>
          <w:sz w:val="24"/>
          <w:highlight w:val="none"/>
        </w:rPr>
        <w:t xml:space="preserve">种报价方式。</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（1）固定总价报价。竞争报价人应充分考虑施工期间各类建材市场价格变化，政策性调整的风险，一旦经评审确定承包人，报价不作调整。</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（2）固定单价报价。磋商供应商应充分考虑施工期间各类建材的市场风险和国家政策性调整风险系数，具体按照国家和苏州市相关文件执行。 本工程的具体结算方式在合同专用条款中约定。执行固定单价报价的基本规定：</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①磋商供应商报价时，必须按统一的工程量清单报价，成交后，本工程中工程量清单项目的综合单价按标底单价下浮之后的综合单价执行【成交下浮率＝（标底价-中</w:t>
      </w:r>
      <w:r>
        <w:rPr>
          <w:rFonts w:ascii="宋体" w:hAnsi="宋体" w:eastAsia="宋体" w:cs="宋体"/>
          <w:color w:val="auto"/>
          <w:sz w:val="24"/>
          <w:highlight w:val="none"/>
        </w:rPr>
        <w:t xml:space="preserve">标（成交）价）/[标底价-暂列金额*（1+规费费率）*（1+税费费率）-专业暂估价*（1+规费费率）*（1+税费费率）-材料暂估价包括甲供材料费*（1+安全文明施工措施费率）*（1+规费费率）*（1+税费费率）]】， 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标底价-中标（成交）价）/[标底价-暂列金额*（1+规费费率）*（1+税费费率）-专业暂估价*（1+规费费率）*（1+税费费率）-材料暂估价包括甲供材料费*（1+安全文明施工措施费率）*（1+规费费率）*（1+税费费率）]。</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③本工程在磋商文件中已明确的各项施工措施费，均包含在合同总价中。其他在磋商文件和答疑中未提及、未明确部分的施工措施费项目，可以根据相关资料按实调整，并作相应的下浮。</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在履行合同过程中，按照《苏州市市级政府投资建筑工程变更备案管理实施细则》（苏住建规{2018}1号）执行变更程序。由于设计变更或其他原因确需调整合同金额的，经财政局批准同意后，根据追加的采购计划签订补充合同，但全部补充合同的采购金额不得超过原合同金额的10%，超过部分不予安排财政资金。</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①追加金额不得超过原合同金额的10%。</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②原合同金额10%以内的追加费用，限于原合同内工程清单数量调整增加的工程费用，原合同外工程内容不得计入。</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3、计价时，不可竞争费用均按规定计算，不得让利或随意调整计算标准，否则报价无效。</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江苏省安全文明施工措施费应放在措施项目清单中（仅计取基本费）。磋商供应商不得将不可竞争费用降低标准收取，不可竞争费费率详见工程量清单。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4、计价格式中列明的所有需要填报的单价和合价，竞争人均需填报，未填报的单价和合价，视为此项费用已包含在工程量清单的其他单价和合价中。</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六、综合说明及其它要求：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磋商响应总报价包括但不限于机械设备、材料、劳务、技术措施、场地清理、有关材料和构件场内外二次搬运费、垃圾的清理外运所有费、总包配合费等全部费用以及响应单位企业利润、税金和政策性文件规定及合同包含的所有风险、责任、代理服务费等各项应有费用。（政策性条款例外）。</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2、供应商必须说明其是否响应采购文件中提出的全部服务内容与要求，如果以其中某些条款不响应时，应在文件中逐条列出，未列出的视同响应。</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3、磋商说明：</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（1）不符合供应商资格要求的响应文件将被拒绝；</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（2）供应商未按不见面开标流程解密成功的视为无效；</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（3）最终报价超过采购预算的，不能成交；</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（4）不实质性响应磋商文件的不能成交；</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（5）在“苏采云”系统中出现供应商“机器码一致”情形的，响应文件将被拒绝。</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七、根据苏州市财政局《关于贯彻执行绿色采购、促进残疾人就业和支持监狱企业发展有关政策的通知》（苏财购〔2019〕10号）规定：</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1、关于节能环保产品政府采购要求：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根据财政部、发展改革委、生态环境部、市场监管总局关于调整优化节能产品、环境标志产品政府采购执行机制的通知：</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1.1采购清单中的产品属于节能产品政府采购品目清单中强制采购的，应选择节能产品并提供国家确定的认证机构出具的、处于有效期之内的节能产品认证证书，否则响应无效；</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1.2采购清单中的产品属于环境标志产品政府采购品目清单的优先采购的，则在综合评分相同情况下，提供优先采购产品更多的响应单位优先成交。</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1.3响应产品不属于节能产品政府采购品目清单和环境标志产品政府采购品目清单范围内的，响应单位应综合考虑节能、节水、环保、循环、低碳、再生、有机等因素，绿色采购，优先考虑绿色产品。</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注：《节能产品政府采购清单》、《环境标志产品政府采购清单》以“中国政府采购网”（http://www.ccgp.gov.cn）公告的时间、内容为准，也可通过“苏州市政府采购网”（http://www.zfcg.suzhou.gov.cn）链接查询。</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2、进一步明确政府采购促进残疾人就业政策</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2.1本次采购中，响应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2.3中标、成交供应商为残疾人福利性单位的，采购人或者其委托的采购代理机构应当随中标、成交结果同时公告其《残疾人福利性单位声明函》，接受社会监督。</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3、进一步明确政府采购支持监狱企业发展政策</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3.1在本次采购中，响应单位如为监狱企业，则视同小型、微型企业，享受评审中价格扣除等政府采购促进中小企业发展的政府采购政策。向监狱企业采购的金额，计入面向中小企业采购的统计数据。</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八、根据苏州市财政局《关于进一步做好政府采购正常贯彻执行工作的通知》（苏财购（2017）10号）文件规定：</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1、关于政府采购促进中小企业发展政策要求：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1.1不同行业的中小微企业划分标准以工信部、国家统计局、国家发改委、财政部《关于印发中小企业划型标准规定的通知》（工信部联企业〔2011〕300号）为准。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1.2小微企业提供中型企业制造或使用中型企业注册商标的货物的，视同为中型企业。小微企业提供大型企业制造或使用大型企业注册商标的货物的，视同为大型企业。</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1.3中小微企业在投标（响应）文件中，签署《中小企业声明函》，并根据工信部联企业〔2011〕300号通知，未在投标（响应）文件中提供《中小企业声明函》的，不享受促进中小微企业发展的相关政府采购政策。</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1.4对小型和微型企业产品或服务的价格给予相关比例的扣除，用扣除后的价格参与评审，具体信息详见评分标准。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八、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1、关于对参与供应商信用记录的政府采购要求：</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1.1采购代理机构会在接收响应文件截止时间后，在中国政府采购网（www.ccgp.gov.cn）、信用中国（www.creditchina.gov.cn）、信用江苏（</w:t>
      </w:r>
      <w:r>
        <w:rPr>
          <w:color w:val="auto"/>
          <w:highlight w:val="none"/>
        </w:rPr>
        <w:fldChar w:fldCharType="begin"/>
      </w:r>
      <w:r>
        <w:rPr>
          <w:color w:val="auto"/>
          <w:highlight w:val="none"/>
        </w:rPr>
        <w:instrText xml:space="preserve"> HYPERLINK "http://www.jscredit.gov.cn/" \o "http://www.jscredit.gov.cn/" </w:instrText>
      </w:r>
      <w:r>
        <w:rPr>
          <w:color w:val="auto"/>
          <w:highlight w:val="none"/>
        </w:rPr>
        <w:fldChar w:fldCharType="separate"/>
      </w:r>
      <w:r>
        <w:rPr>
          <w:rStyle w:val="707"/>
          <w:rFonts w:ascii="宋体" w:hAnsi="宋体" w:eastAsia="宋体" w:cs="宋体"/>
          <w:color w:val="auto"/>
          <w:sz w:val="24"/>
          <w:highlight w:val="none"/>
          <w:u w:val="single"/>
        </w:rPr>
        <w:t xml:space="preserve">www.jscredit.gov.cn</w:t>
      </w:r>
      <w:r>
        <w:rPr>
          <w:rStyle w:val="707"/>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）、诚信苏州（www.szcredit.gov.cn）的网站输入供应商全称或统一社会信用代码查询信用记录，并将查询结果递交评审小组。</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（一）政府采购严重违法记录，即供应商被全国各级财政部门列入“政府采购严重违法失信行为记录名单”，且在处罚有效期内的。</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（二）财政部门与法院、工商、税务等部门联合惩戒的失信信息，包括：</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1）被列入失信被执行人名单；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2）被列入重大税收违法案件当事人名单；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九、行业属性：</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根据《政府采购促进中小企业发展管理办法》（财库〔2020〕46号）及《中小企业划型标准规定》（工信部联企业〔2011〕300号），本采购标的对应的中小企业划分标准所属行业为:</w:t>
      </w:r>
      <w:r>
        <w:rPr>
          <w:rFonts w:ascii="宋体" w:hAnsi="宋体" w:eastAsia="宋体" w:cs="宋体"/>
          <w:b/>
          <w:color w:val="auto"/>
          <w:sz w:val="24"/>
          <w:highlight w:val="none"/>
        </w:rPr>
        <w:t xml:space="preserve">建筑业</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十、凡涉及采购文件的补充说明和修改，均以苏州政府采购网发布的文件为准。</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3"/>
          <w:highlight w:val="none"/>
        </w:rPr>
        <w:t xml:space="preserve">第四章 评审办法及评分标准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一、评审方法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1、本次磋商评审方法为综合评分法。即在最大限度地满足磋商采购文件实质性要求前提下，按照磋商采购文件中规定的各项因素进行综合评审后，以评审总得分最高的供应商作为成交供应商的评审方法。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2、综合评分的主要因素为：综合实力、业绩、技术、财务状况、信誉、服务、对磋商采购文件的响应程度，以及相应的比重或者数值等。</w:t>
      </w:r>
      <w:r/>
    </w:p>
    <w:p>
      <w:pPr>
        <w:ind w:firstLine="480"/>
        <w:keepLines w:val="0"/>
        <w:keepNext w:val="0"/>
        <w:pageBreakBefore w:val="0"/>
        <w:spacing w:line="360" w:lineRule="auto"/>
        <w:widowControl w:val="off"/>
        <w:rPr>
          <w:rFonts w:ascii="宋体" w:hAnsi="宋体" w:eastAsia="宋体" w:cs="宋体"/>
          <w:color w:val="auto"/>
          <w:sz w:val="24"/>
          <w:highlight w:val="none"/>
        </w:rPr>
        <w:outlineLvl w:val="9"/>
      </w:pPr>
      <w:r>
        <w:rPr>
          <w:rFonts w:ascii="宋体" w:hAnsi="宋体" w:eastAsia="宋体" w:cs="宋体"/>
          <w:color w:val="auto"/>
          <w:sz w:val="24"/>
          <w:highlight w:val="none"/>
        </w:rPr>
        <w:t xml:space="preserve">3、评审时，评审委员会各成员独立对每个有效供应商的响应文件进行评价、打分，计算出每个供应商的得分（计算结果均四舍五入保留两位小数），然后汇总，按算术平均方法，计算出每个供应商的得分；报价得分通过计算直接取得；报价得分加评委算术平均得分，为供应商的总得分。</w:t>
      </w:r>
      <w:r/>
    </w:p>
    <w:p>
      <w:pPr>
        <w:ind w:firstLine="482"/>
        <w:keepLines w:val="0"/>
        <w:keepNext w:val="0"/>
        <w:pageBreakBefore w:val="0"/>
        <w:spacing w:line="360" w:lineRule="auto"/>
        <w:widowControl w:val="off"/>
        <w:rPr>
          <w:rFonts w:hint="eastAsia" w:ascii="宋体" w:hAnsi="宋体" w:eastAsia="宋体" w:cs="Times New Roman"/>
          <w:b/>
          <w:bCs w:val="0"/>
          <w:color w:val="auto"/>
          <w:sz w:val="24"/>
          <w:highlight w:val="none"/>
        </w:rPr>
        <w:outlineLvl w:val="9"/>
      </w:pPr>
      <w:r>
        <w:rPr>
          <w:rFonts w:hint="eastAsia" w:ascii="宋体" w:hAnsi="宋体" w:eastAsia="宋体" w:cs="Times New Roman"/>
          <w:b/>
          <w:bCs w:val="0"/>
          <w:color w:val="auto"/>
          <w:sz w:val="24"/>
          <w:highlight w:val="none"/>
        </w:rPr>
        <w:t xml:space="preserve">注：评审过程中出现下列情形之一的，评审委员会应当启动异常低价投标(响应)审查程序：</w:t>
      </w:r>
      <w:r/>
    </w:p>
    <w:p>
      <w:pPr>
        <w:ind w:firstLine="482"/>
        <w:keepLines w:val="0"/>
        <w:keepNext w:val="0"/>
        <w:pageBreakBefore w:val="0"/>
        <w:spacing w:line="360" w:lineRule="auto"/>
        <w:widowControl w:val="off"/>
        <w:rPr>
          <w:rFonts w:hint="eastAsia" w:ascii="宋体" w:hAnsi="宋体" w:eastAsia="宋体" w:cs="Times New Roman"/>
          <w:b/>
          <w:bCs w:val="0"/>
          <w:color w:val="auto"/>
          <w:sz w:val="24"/>
          <w:highlight w:val="none"/>
        </w:rPr>
        <w:outlineLvl w:val="9"/>
      </w:pP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lang w:val="en-US" w:eastAsia="zh-CN"/>
        </w:rPr>
        <w:t xml:space="preserve">1</w:t>
      </w: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rPr>
        <w:t xml:space="preserve">投标(响应)报价低于采购项目预算50%的，即投标(响应)报价&lt;采购项目预算*50%；</w:t>
      </w:r>
      <w:r/>
    </w:p>
    <w:p>
      <w:pPr>
        <w:ind w:firstLine="482"/>
        <w:keepLines w:val="0"/>
        <w:keepNext w:val="0"/>
        <w:pageBreakBefore w:val="0"/>
        <w:spacing w:line="360" w:lineRule="auto"/>
        <w:widowControl w:val="off"/>
        <w:rPr>
          <w:rFonts w:hint="eastAsia" w:ascii="宋体" w:hAnsi="宋体" w:eastAsia="宋体" w:cs="Times New Roman"/>
          <w:b/>
          <w:bCs w:val="0"/>
          <w:color w:val="auto"/>
          <w:sz w:val="24"/>
          <w:highlight w:val="none"/>
        </w:rPr>
        <w:outlineLvl w:val="9"/>
      </w:pP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lang w:val="en-US" w:eastAsia="zh-CN"/>
        </w:rPr>
        <w:t xml:space="preserve">2</w:t>
      </w: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rPr>
        <w:t xml:space="preserve">投标(响应)报价低于采购项目最高限价45%的，即投标(响应)报价&lt;采购项目最高限价*45%；</w:t>
      </w:r>
      <w:r/>
    </w:p>
    <w:p>
      <w:pPr>
        <w:ind w:firstLine="482"/>
        <w:keepLines w:val="0"/>
        <w:keepNext w:val="0"/>
        <w:pageBreakBefore w:val="0"/>
        <w:spacing w:line="360" w:lineRule="auto"/>
        <w:widowControl w:val="off"/>
        <w:rPr>
          <w:rFonts w:hint="eastAsia" w:ascii="宋体" w:hAnsi="宋体" w:eastAsia="宋体" w:cs="Times New Roman"/>
          <w:b/>
          <w:bCs w:val="0"/>
          <w:color w:val="auto"/>
          <w:sz w:val="24"/>
          <w:highlight w:val="none"/>
        </w:rPr>
        <w:outlineLvl w:val="9"/>
      </w:pP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lang w:val="en-US" w:eastAsia="zh-CN"/>
        </w:rPr>
        <w:t xml:space="preserve">3</w:t>
      </w:r>
      <w:r>
        <w:rPr>
          <w:rFonts w:hint="eastAsia" w:ascii="宋体" w:hAnsi="宋体" w:eastAsia="宋体" w:cs="Times New Roman"/>
          <w:b/>
          <w:bCs w:val="0"/>
          <w:color w:val="auto"/>
          <w:sz w:val="24"/>
          <w:highlight w:val="none"/>
          <w:lang w:eastAsia="zh-CN"/>
        </w:rPr>
        <w:t xml:space="preserve">）</w:t>
      </w:r>
      <w:r>
        <w:rPr>
          <w:rFonts w:hint="eastAsia" w:ascii="宋体" w:hAnsi="宋体" w:eastAsia="宋体" w:cs="Times New Roman"/>
          <w:b/>
          <w:bCs w:val="0"/>
          <w:color w:val="auto"/>
          <w:sz w:val="24"/>
          <w:highlight w:val="none"/>
        </w:rPr>
        <w:t xml:space="preserve">评审委员会认定的供应商报价过低、有可能影响产品质量或者不能诚信履约的其他情形。</w:t>
      </w:r>
      <w:r/>
    </w:p>
    <w:p>
      <w:pPr>
        <w:ind w:firstLine="480"/>
        <w:pageBreakBefore w:val="0"/>
        <w:spacing w:line="360" w:lineRule="auto"/>
        <w:rPr>
          <w:color w:val="auto"/>
          <w:highlight w:val="none"/>
        </w:rPr>
      </w:pPr>
      <w:r>
        <w:rPr>
          <w:rFonts w:hint="eastAsia" w:ascii="宋体" w:hAnsi="宋体" w:eastAsia="宋体" w:cs="Times New Roman"/>
          <w:b/>
          <w:bCs w:val="0"/>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4、针对小型、微型企业的价格评审办法：</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w:t>
      </w:r>
      <w:r>
        <w:rPr>
          <w:rFonts w:ascii="宋体" w:hAnsi="宋体" w:eastAsia="宋体" w:cs="宋体"/>
          <w:color w:val="auto"/>
          <w:sz w:val="24"/>
          <w:highlight w:val="none"/>
        </w:rPr>
        <w:t xml:space="preserve">%的扣除，用扣除后的价格参与评审，如扣除后的价格为最低价的，则作为评标基准价，中标金额则以实际投标报价为准。残疾人福利性单位属于小型、微型企业的，不重复享受政策。服务类项目中供应商若使用退休人员，将不享受中小企业扶持政策。 小微企业提供《中小企业声明函》；监狱企业提供由省级以上监狱管理局、戒毒管理局（含新疆生产建设兵团）出具的属于监狱企业的证明文件；残疾人福利性单位提供《残疾人福利性单位声明函》。 注： ①填报“中小企业声明函”需严格按工信部联企业〔2011〕300号通知中的《中小企业划型标准规定》进行。 </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②若供应商提供的声明函或认定证明为虚假材料，按“政府采购法”相关规定处理并报请政府监管部门给予行政处罚。 </w:t>
      </w:r>
      <w:r/>
    </w:p>
    <w:p>
      <w:pPr>
        <w:ind w:left="0" w:right="0" w:firstLine="48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③若为专门面向中小企业采购的项目或者采购包，不再执行价格评审优惠的扶持政策。</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二、评分标准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（一）价格基准分（10分）</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第一步：磋商报价（总价）低于或等于采购预算价格的，为有效磋商报价。超财政预算的磋商报价文件为未实质性响应文件，不参与评审。</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第二步：在所有有效磋商报价（总价）中满足采购文件要求，且磋商价格最低的磋商报价（总价）为评标基准价，其价格分为10分，其他磋商供应商的价格分按照下列公式计算（计算结果四舍五入保留两位小数）：</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磋商报价得分＝（评标基准价/磋商报价（总价））×10%×100</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（二）施工组织设计（72分）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1、对施工组织总体设想、施工标段划分进行综合评分（最高8分）</w:t>
      </w:r>
      <w:r/>
    </w:p>
    <w:p>
      <w:pPr>
        <w:ind w:firstLine="48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根据投标人提供的施工组织总体</w:t>
      </w:r>
      <w:r>
        <w:rPr>
          <w:rFonts w:hint="eastAsia" w:ascii="宋体" w:hAnsi="宋体"/>
          <w:color w:val="auto"/>
          <w:sz w:val="24"/>
          <w:highlight w:val="none"/>
        </w:rPr>
        <w:t xml:space="preserve">设想详细，施工标段划分全，总体安排科学，方案考虑周全，有合理化建议等得8分；设想较为详细，总体安排可行，方案考虑比较细致，能满足项目实施需要的得5分；方案简单，基本能满足项目实施需要的得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分；未提供不得分。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2、对施工进度计划和各阶段进度的保证措施进行综合评分（最高8分）</w:t>
      </w:r>
      <w:r/>
    </w:p>
    <w:p>
      <w:pPr>
        <w:ind w:firstLine="48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根据投标人提供的</w:t>
      </w:r>
      <w:r>
        <w:rPr>
          <w:rFonts w:hint="eastAsia" w:ascii="宋体" w:hAnsi="宋体"/>
          <w:color w:val="auto"/>
          <w:sz w:val="24"/>
          <w:highlight w:val="none"/>
        </w:rPr>
        <w:t xml:space="preserve">施工进度计划详尽，项目实施进度、时间点、关键节点等设置清晰准确的得8分；施工进度计划较为详尽，项目实施进度、时间点、关键点等设置比较准确的得5分；方案简单，描述不清楚，基本能满足项目实施需要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分；未提供不得分。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3、对各分部分项工程的施工方案及质量保证措施进行综合评分（最高8分）</w:t>
      </w:r>
      <w:r/>
    </w:p>
    <w:p>
      <w:pPr>
        <w:ind w:firstLine="48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根据投标人提供的</w:t>
      </w:r>
      <w:r>
        <w:rPr>
          <w:rFonts w:hint="eastAsia" w:ascii="宋体" w:hAnsi="宋体"/>
          <w:color w:val="auto"/>
          <w:sz w:val="24"/>
          <w:highlight w:val="none"/>
        </w:rPr>
        <w:t xml:space="preserve">分项施工方案、关键施工技术、工程项目实施的质量保证措施、科学合理、操作性强、考虑周全的得8分；分项施工方案、关键施工技术、工程项目实施的质量保证措施、比较合理、操作性较强、考虑较周全的得5分；方案简单，操作性不强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分，未提供不得分。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4、对安全文明施工及环境保护措施进行综合评分（最高8分）</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根据投标人提供的工程安全文明施工、施工现场扬尘污染防治措施及环境保护方面的措施科学、合理、操作性强、规范、高效的得8分；该工程安全文明施工、施工现场扬尘污染防治措施及环境保护方面的措施较科学、较合理、操作性较强、较规范、较高效的得5分；该工程安全文明施工、施工现场扬尘污染防治措施及环境保护方面的措施完整简单、合理性欠缺、操作性较弱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分；未提供不得分。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5、对劳动力、材料和机械设备投入计划进行综合评分（最高8分）</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根据投标人提供的</w:t>
      </w:r>
      <w:r>
        <w:rPr>
          <w:rFonts w:hint="eastAsia" w:ascii="宋体" w:hAnsi="宋体" w:cs="宋体"/>
          <w:color w:val="auto"/>
          <w:sz w:val="24"/>
          <w:highlight w:val="none"/>
        </w:rPr>
        <w:t xml:space="preserve">工程劳动力、材料和机械设备计划完整、科学、合理、全面的得8分；该工程劳动力、材料和机械设备计划较完整、较科学、较合理、较全面的得5分；该工程劳动力、材料和机械设备计划简单、合理性欠缺、不够完整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olor w:val="auto"/>
          <w:sz w:val="24"/>
          <w:highlight w:val="none"/>
        </w:rPr>
        <w:t xml:space="preserve">未提供不得分。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6、对突发事件的应急情况及相关应急措施进行综合评分（最高8分）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根据投标人提供的突发事件的应急情况及相关应急预案是否完善，有效，应急保障措施是否适应、可行；应急措施最完整、科学、合理、全面的得8分；应急措施较完整、科学、合理、但有缺陷的得5分；应急措施不够完整、科学、合理、且有重大缺陷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分；未提供不得分。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7、对实施的重点、难点分析和解决方案进行综合评分（最高8分）</w:t>
      </w:r>
      <w:r/>
    </w:p>
    <w:p>
      <w:pPr>
        <w:ind w:firstLine="48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根据投标人提供的针对本项目项目实施的重点、难点及解决方案分析到位，方案科学合理、针对性及可操作性强的得</w:t>
      </w:r>
      <w:r>
        <w:rPr>
          <w:rFonts w:ascii="宋体" w:hAnsi="宋体" w:cs="宋体"/>
          <w:color w:val="auto"/>
          <w:sz w:val="24"/>
          <w:highlight w:val="none"/>
        </w:rPr>
        <w:t xml:space="preserve">8</w:t>
      </w:r>
      <w:r>
        <w:rPr>
          <w:rFonts w:hint="eastAsia" w:ascii="宋体" w:hAnsi="宋体" w:cs="宋体"/>
          <w:color w:val="auto"/>
          <w:sz w:val="24"/>
          <w:highlight w:val="none"/>
        </w:rPr>
        <w:t xml:space="preserve">分；针对本项目项目实施的重点、难点及解决方案分析较明确，方案基本合理、有一定针对性、可操作性较强的得5分；针对本项目项目实施的重点、难点及解决方案分析粗略，方案简单、无针对性、可操作性不强的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olor w:val="auto"/>
          <w:sz w:val="24"/>
          <w:highlight w:val="none"/>
        </w:rPr>
        <w:t xml:space="preserve">未提供不得分。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8、对实施期间与其他单位、部门的综合协调方案</w:t>
      </w:r>
      <w:r>
        <w:rPr>
          <w:rFonts w:hint="eastAsia" w:ascii="宋体" w:hAnsi="宋体" w:cs="宋体"/>
          <w:color w:val="auto"/>
          <w:sz w:val="24"/>
          <w:highlight w:val="none"/>
        </w:rPr>
        <w:t xml:space="preserve">进行综合评分</w:t>
      </w:r>
      <w:r>
        <w:rPr>
          <w:rFonts w:hint="eastAsia" w:ascii="宋体" w:hAnsi="宋体"/>
          <w:color w:val="auto"/>
          <w:sz w:val="24"/>
          <w:highlight w:val="none"/>
        </w:rPr>
        <w:t xml:space="preserve">（最高8分）</w:t>
      </w:r>
      <w:r/>
    </w:p>
    <w:p>
      <w:pPr>
        <w:ind w:firstLine="48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根据投标人提供的</w:t>
      </w:r>
      <w:r>
        <w:rPr>
          <w:rFonts w:hint="eastAsia" w:ascii="宋体" w:hAnsi="宋体"/>
          <w:color w:val="auto"/>
          <w:sz w:val="24"/>
          <w:highlight w:val="none"/>
        </w:rPr>
        <w:t xml:space="preserve">实施期间与其他单位、部门的综合协调方案比较，协调方案科学合理、可操作性强、内容描述详细的得8分；可操作性尚可，内容描述较简单的得5分；可操作性存在不合理，内容描述特少的得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分；未提供不得分。</w:t>
      </w:r>
      <w:r/>
    </w:p>
    <w:p>
      <w:pPr>
        <w:ind w:firstLine="480"/>
        <w:spacing w:after="0" w:line="360" w:lineRule="auto"/>
        <w:rPr>
          <w:rFonts w:hint="eastAsia" w:ascii="宋体" w:hAnsi="宋体"/>
          <w:color w:val="auto"/>
          <w:sz w:val="24"/>
          <w:highlight w:val="none"/>
        </w:rPr>
      </w:pPr>
      <w:r>
        <w:rPr>
          <w:rFonts w:hint="eastAsia" w:ascii="宋体" w:hAnsi="宋体"/>
          <w:color w:val="auto"/>
          <w:sz w:val="24"/>
          <w:highlight w:val="none"/>
        </w:rPr>
        <w:t xml:space="preserve">9、对售后服务方案</w:t>
      </w:r>
      <w:r>
        <w:rPr>
          <w:rFonts w:hint="eastAsia" w:ascii="宋体" w:hAnsi="宋体" w:cs="宋体"/>
          <w:color w:val="auto"/>
          <w:sz w:val="24"/>
          <w:highlight w:val="none"/>
        </w:rPr>
        <w:t xml:space="preserve">进行综合评分</w:t>
      </w:r>
      <w:r>
        <w:rPr>
          <w:rFonts w:hint="eastAsia" w:ascii="宋体" w:hAnsi="宋体"/>
          <w:color w:val="auto"/>
          <w:sz w:val="24"/>
          <w:highlight w:val="none"/>
        </w:rPr>
        <w:t xml:space="preserve">（最高8分）</w:t>
      </w:r>
      <w:r/>
    </w:p>
    <w:p>
      <w:pPr>
        <w:ind w:firstLine="480"/>
        <w:spacing w:after="0" w:line="360" w:lineRule="auto"/>
        <w:rPr>
          <w:rFonts w:hint="eastAsia" w:ascii="宋体" w:hAnsi="宋体"/>
          <w:color w:val="auto"/>
          <w:sz w:val="24"/>
          <w:highlight w:val="none"/>
        </w:rPr>
      </w:pPr>
      <w:r>
        <w:rPr>
          <w:rFonts w:hint="eastAsia" w:ascii="宋体" w:hAnsi="宋体" w:cs="宋体"/>
          <w:color w:val="auto"/>
          <w:sz w:val="24"/>
          <w:highlight w:val="none"/>
        </w:rPr>
        <w:t xml:space="preserve">根据投标人提供的</w:t>
      </w:r>
      <w:r>
        <w:rPr>
          <w:rFonts w:hint="eastAsia" w:ascii="宋体" w:hAnsi="宋体"/>
          <w:color w:val="auto"/>
          <w:sz w:val="24"/>
          <w:highlight w:val="none"/>
        </w:rPr>
        <w:t xml:space="preserve">工程交付后的售后服务保障措施完善合理，售后服务承诺（包括响应时间、解决问题时间等）方案详尽完整、可行性强、科学合理的得8分；售后服务保障措施较完整、科学、合理、但有缺陷的得5分；应急措施不够完整、科学、合理、可操作性存在不合理，内容描述特少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分；未提供不得分。</w:t>
      </w:r>
      <w:r/>
    </w:p>
    <w:p>
      <w:pPr>
        <w:spacing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（三）供应商综合实力比较（18分)</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1、供应商具有有效期内的质量管理体系认证、环境管理体系认证、职业健康安全管理体系认证证书的，每提供1个得2分，最高得6分（注：响应文件中提供有效期内上述证书原件扫描件及中国国家认证认可监督管理委员会官网的证书查询页面截图）。</w:t>
      </w:r>
      <w:r/>
    </w:p>
    <w:p>
      <w:pPr>
        <w:ind w:firstLine="480"/>
        <w:spacing w:after="0" w:line="360" w:lineRule="auto"/>
        <w:rPr>
          <w:rFonts w:ascii="宋体" w:hAnsi="宋体"/>
          <w:color w:val="auto"/>
          <w:sz w:val="24"/>
          <w:highlight w:val="none"/>
        </w:rPr>
      </w:pPr>
      <w:r>
        <w:rPr>
          <w:rFonts w:hint="eastAsia" w:ascii="宋体" w:hAnsi="宋体"/>
          <w:color w:val="auto"/>
          <w:sz w:val="24"/>
          <w:highlight w:val="none"/>
        </w:rPr>
        <w:t xml:space="preserve">2、供应商项目组人员配备中有住建主管部门颁发的安全员C证书的，有一人得2分，本项最高得2分。（注：响应文件中需提供人员相关证书以及供应商为其缴纳的近三个月内任意一个月的社保证明扫描件，未提供或资料提供不全的不得分。）</w:t>
      </w:r>
      <w:r/>
    </w:p>
    <w:p>
      <w:pPr>
        <w:ind w:firstLine="480"/>
        <w:spacing w:after="0" w:line="360" w:lineRule="auto"/>
        <w:rPr>
          <w:rFonts w:hint="eastAsia" w:ascii="宋体" w:hAnsi="宋体"/>
          <w:b/>
          <w:bCs/>
          <w:color w:val="auto"/>
          <w:sz w:val="24"/>
          <w:highlight w:val="none"/>
        </w:rPr>
      </w:pPr>
      <w:r>
        <w:rPr>
          <w:rFonts w:hint="eastAsia" w:ascii="宋体" w:hAnsi="宋体"/>
          <w:color w:val="auto"/>
          <w:sz w:val="24"/>
          <w:highlight w:val="none"/>
        </w:rPr>
        <w:t xml:space="preserve">3、供应商2022年1月1日至今（以合同签订时间为准）</w:t>
      </w:r>
      <w:r>
        <w:rPr>
          <w:rFonts w:hint="eastAsia" w:ascii="宋体" w:hAnsi="宋体"/>
          <w:color w:val="auto"/>
          <w:sz w:val="24"/>
          <w:highlight w:val="none"/>
          <w:lang w:val="en-US" w:eastAsia="zh-CN"/>
        </w:rPr>
        <w:t xml:space="preserve">类似工程业绩</w:t>
      </w:r>
      <w:r>
        <w:rPr>
          <w:rFonts w:hint="eastAsia" w:ascii="宋体" w:hAnsi="宋体"/>
          <w:color w:val="auto"/>
          <w:sz w:val="24"/>
          <w:highlight w:val="none"/>
        </w:rPr>
        <w:t xml:space="preserve">每提供一个得2分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最高得10分。未提供业绩相关证明材料的不得分。（注：响应文件中提供业绩合同扫描件和竣工验收证明，未提供的不得分。）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3"/>
          <w:highlight w:val="none"/>
        </w:rPr>
        <w:t xml:space="preserve">第五章 合同主要条款及格式</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u w:val="none"/>
        </w:rPr>
        <w:t xml:space="preserve">第一部分合同协议书</w:t>
      </w:r>
      <w:r/>
    </w:p>
    <w:p>
      <w:pPr>
        <w:ind w:left="0"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发包人（全称）：</w:t>
      </w:r>
      <w:r>
        <w:rPr>
          <w:rFonts w:hint="eastAsia" w:ascii="宋体" w:hAnsi="宋体" w:cs="宋体"/>
          <w:b/>
          <w:color w:val="auto"/>
          <w:sz w:val="24"/>
          <w:highlight w:val="none"/>
          <w:u w:val="single"/>
          <w:lang w:eastAsia="zh-CN"/>
        </w:rPr>
        <w:t xml:space="preserve">苏州市吴中区人民政府太湖街道办事处</w:t>
      </w:r>
      <w:r/>
    </w:p>
    <w:p>
      <w:pPr>
        <w:ind w:left="0"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承包人（全称）：</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4"/>
          <w:highlight w:val="none"/>
          <w:u w:val="single"/>
          <w:lang w:eastAsia="zh-CN"/>
        </w:rPr>
        <w:t xml:space="preserve">太湖街道社会治安综合治理中心装修项目</w:t>
      </w:r>
      <w:r>
        <w:rPr>
          <w:rFonts w:ascii="宋体" w:hAnsi="宋体" w:eastAsia="宋体" w:cs="宋体"/>
          <w:color w:val="auto"/>
          <w:sz w:val="24"/>
          <w:highlight w:val="none"/>
        </w:rPr>
        <w:t xml:space="preserve">施工及有关事项协商一致，共同达成如下协议：</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u w:val="none"/>
        </w:rPr>
        <w:t xml:space="preserve">一、工程概况</w:t>
      </w:r>
      <w:r/>
    </w:p>
    <w:p>
      <w:pPr>
        <w:ind w:left="0" w:right="0" w:firstLine="48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1.工程名称：</w:t>
      </w:r>
      <w:r>
        <w:rPr>
          <w:rFonts w:hint="eastAsia" w:ascii="宋体" w:hAnsi="宋体" w:cs="宋体"/>
          <w:color w:val="auto"/>
          <w:sz w:val="24"/>
          <w:highlight w:val="none"/>
          <w:u w:val="single"/>
          <w:lang w:eastAsia="zh-CN"/>
        </w:rPr>
        <w:t xml:space="preserve">太湖街道社会治安综合治理中心装修项目</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2.工程地点：</w:t>
      </w:r>
      <w:r>
        <w:rPr>
          <w:rFonts w:ascii="宋体" w:hAnsi="宋体" w:eastAsia="宋体" w:cs="宋体"/>
          <w:color w:val="auto"/>
          <w:sz w:val="24"/>
          <w:highlight w:val="none"/>
          <w:u w:val="single"/>
        </w:rPr>
        <w:t xml:space="preserve">甲方指定地点（苏州大市范围内）</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3.工程内容：</w:t>
      </w:r>
      <w:r>
        <w:rPr>
          <w:rFonts w:hint="eastAsia" w:ascii="宋体" w:hAnsi="宋体" w:cs="宋体"/>
          <w:color w:val="auto"/>
          <w:sz w:val="24"/>
          <w:highlight w:val="none"/>
          <w:u w:val="single"/>
          <w:lang w:eastAsia="zh-CN"/>
        </w:rPr>
        <w:t xml:space="preserve">太湖街道社会治安综合治理中心装修项目</w:t>
      </w:r>
      <w:r>
        <w:rPr>
          <w:rFonts w:ascii="宋体" w:hAnsi="宋体" w:eastAsia="宋体" w:cs="宋体"/>
          <w:color w:val="auto"/>
          <w:sz w:val="24"/>
          <w:highlight w:val="none"/>
          <w:u w:val="single"/>
        </w:rPr>
        <w:t xml:space="preserve">。</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4.工程承包范围：</w:t>
      </w:r>
      <w:r>
        <w:rPr>
          <w:rFonts w:hint="eastAsia" w:ascii="宋体" w:hAnsi="宋体" w:cs="宋体"/>
          <w:color w:val="auto"/>
          <w:sz w:val="24"/>
          <w:highlight w:val="none"/>
          <w:u w:val="single"/>
          <w:lang w:eastAsia="zh-CN"/>
        </w:rPr>
        <w:t xml:space="preserve">太湖街道社会治安综合治理中心装修项目</w:t>
      </w:r>
      <w:r>
        <w:rPr>
          <w:rFonts w:ascii="宋体" w:hAnsi="宋体" w:eastAsia="宋体" w:cs="宋体"/>
          <w:color w:val="auto"/>
          <w:sz w:val="24"/>
          <w:highlight w:val="none"/>
          <w:u w:val="single"/>
        </w:rPr>
        <w:t xml:space="preserve">施工</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二、合同工期</w:t>
      </w:r>
      <w:r/>
    </w:p>
    <w:p>
      <w:pPr>
        <w:ind w:left="0" w:right="0" w:firstLine="459"/>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计划开工日期：</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日。</w:t>
      </w:r>
      <w:r/>
    </w:p>
    <w:p>
      <w:pPr>
        <w:ind w:left="0" w:right="0" w:firstLine="459"/>
        <w:jc w:val="both"/>
        <w:keepLines w:val="0"/>
        <w:keepNext w:val="0"/>
        <w:pageBreakBefore w:val="0"/>
        <w:spacing w:before="210" w:after="16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计划竣工日期：</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日。</w:t>
      </w:r>
      <w:r/>
    </w:p>
    <w:p>
      <w:pPr>
        <w:ind w:left="0" w:right="0" w:firstLine="459"/>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工期总日历天数：</w:t>
      </w:r>
      <w:r>
        <w:rPr>
          <w:rFonts w:hint="eastAsia" w:ascii="宋体" w:hAnsi="宋体" w:cs="宋体"/>
          <w:color w:val="auto"/>
          <w:sz w:val="24"/>
          <w:highlight w:val="none"/>
          <w:u w:val="single"/>
          <w:lang w:val="en-US" w:eastAsia="zh-CN"/>
        </w:rPr>
        <w:t xml:space="preserve">45日历天</w:t>
      </w:r>
      <w:r>
        <w:rPr>
          <w:rFonts w:ascii="宋体" w:hAnsi="宋体" w:eastAsia="宋体" w:cs="宋体"/>
          <w:color w:val="auto"/>
          <w:sz w:val="24"/>
          <w:highlight w:val="none"/>
        </w:rPr>
        <w:t xml:space="preserve">。工期总日历天数与根据前述计划开竣工日期计算的工期天数不一致的，以工期总日历天数为准。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三、质量标准</w:t>
      </w:r>
      <w:r/>
    </w:p>
    <w:p>
      <w:pPr>
        <w:ind w:left="0" w:right="0" w:firstLine="459"/>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工程质量符合</w:t>
      </w:r>
      <w:r>
        <w:rPr>
          <w:rFonts w:ascii="宋体" w:hAnsi="宋体" w:eastAsia="宋体" w:cs="宋体"/>
          <w:color w:val="auto"/>
          <w:sz w:val="24"/>
          <w:highlight w:val="none"/>
          <w:u w:val="single"/>
        </w:rPr>
        <w:t xml:space="preserve">合格</w:t>
      </w:r>
      <w:r>
        <w:rPr>
          <w:rFonts w:ascii="宋体" w:hAnsi="宋体" w:eastAsia="宋体" w:cs="宋体"/>
          <w:color w:val="auto"/>
          <w:sz w:val="24"/>
          <w:highlight w:val="none"/>
        </w:rPr>
        <w:t xml:space="preserve">标准。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四、签约合同价与合同价格形式</w:t>
      </w:r>
      <w:r/>
    </w:p>
    <w:p>
      <w:pPr>
        <w:ind w:left="0" w:right="0" w:firstLine="42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1.人民币（大写）：</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2.合同价格形式：</w:t>
      </w:r>
      <w:r>
        <w:rPr>
          <w:rFonts w:ascii="宋体" w:hAnsi="宋体" w:eastAsia="宋体" w:cs="宋体"/>
          <w:color w:val="auto"/>
          <w:sz w:val="24"/>
          <w:highlight w:val="none"/>
          <w:u w:val="single"/>
        </w:rPr>
        <w:t xml:space="preserve">固定综合单价</w:t>
      </w:r>
      <w:r>
        <w:rPr>
          <w:rFonts w:ascii="宋体" w:hAnsi="宋体" w:eastAsia="宋体" w:cs="宋体"/>
          <w:color w:val="auto"/>
          <w:sz w:val="24"/>
          <w:highlight w:val="none"/>
        </w:rPr>
        <w:t xml:space="preserve">。</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五、项目经理</w:t>
      </w:r>
      <w:r/>
    </w:p>
    <w:p>
      <w:pPr>
        <w:ind w:left="0" w:right="0" w:firstLine="420"/>
        <w:jc w:val="both"/>
        <w:keepLines w:val="0"/>
        <w:keepNext w:val="0"/>
        <w:pageBreakBefore w:val="0"/>
        <w:spacing w:before="210" w:after="160" w:line="360" w:lineRule="auto"/>
        <w:widowControl/>
        <w:rPr>
          <w:rFonts w:hint="default" w:eastAsia="宋体"/>
          <w:color w:val="auto"/>
          <w:highlight w:val="none"/>
          <w:u w:val="single"/>
          <w:lang w:val="en-US"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承包人</w:t>
      </w:r>
      <w:r>
        <w:rPr>
          <w:rFonts w:ascii="宋体" w:hAnsi="宋体" w:eastAsia="宋体" w:cs="宋体"/>
          <w:color w:val="auto"/>
          <w:sz w:val="24"/>
          <w:highlight w:val="none"/>
          <w:u w:val="single"/>
        </w:rPr>
        <w:t xml:space="preserve">项目经理：</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u w:val="single"/>
        </w:rPr>
        <w:t xml:space="preserve">，证书编号</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                         </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六、合同文件构成</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本协议书与下列文件一起构成合同文件：</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（1）成交通知书；</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（2）投标函及其附录； </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（3）专用合同条款及其附件；</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（4）通用合同条款；</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（5）技术标准和要求；</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（6）图纸；</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（7）已标价工程量清单；</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（8）其他合同文件。</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在合同订立及履行过程中形成的与合同有关的文件均构成合同文件组成部分。</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七、关于工程价款及结算的约定</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1、合同价款及调整：本工程项目采用固定单价合同。</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供应商位供应商应充分考虑施工期间各类建材的市场风险和国家政策性调整风险系数，具体按照国家和苏州市相关文件执行。本工程的具体结算方式在合同专用条款中约定。执行固定单价报价的基本规定：</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①</w:t>
      </w:r>
      <w:r>
        <w:rPr>
          <w:rFonts w:ascii="宋体" w:hAnsi="宋体" w:eastAsia="宋体" w:cs="宋体"/>
          <w:color w:val="auto"/>
          <w:sz w:val="24"/>
          <w:highlight w:val="none"/>
        </w:rPr>
        <w:t xml:space="preserve">供应商报价时，必须按统一的工程量清单报价，成交后，本工程中工程量清单项目的综合单价按标底单价下浮之后的综合单价执行【成交下浮率＝﹙标底价－中标价﹚÷〔标底价－暂列金额×﹙1+规费费率﹚×﹙1+税率﹚－专项暂估价×﹙1+规费费率﹚×﹙1+税率﹚－材料暂估价包括甲供材料费×﹙1+安全文明施工措施费率﹚×﹙1+规费费率﹚×﹙1+税率﹚〕×100%】，上述调整后形成《工程报价单》。工程结算总价超出合同价的部分，根据追加的采购计划签订补充合同。但全部补充合同的采购金额不得超过原合同金额的10%，超过部分不予安排资金。</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1、清单未列出或实施项目特征、实施工艺与清单所列不一致的工程项目，按本清单有关定额标准及建设行政主管部门发布的现行计价办法或计价标准计价送审。2、因本工程事先无法预知确切工程量，合同清单内工程量均为暂估，工程结算以实际工程量为准，合同清单内项目送审结算价不得高于清单限价。合同清单内项目单价为固定综合单价，送审时施工工艺无重大偏差原则上不调整。</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②本工程在采购文件中已明确的各项施工措施费，均包含在合同总价中。其他在采购文件和答疑中未提及、未明确部分的施工措施费项目，可以根据可以根据现场实际情况及相关资料按实调整，并作相应的下浮。</w:t>
      </w:r>
      <w:r/>
    </w:p>
    <w:p>
      <w:pPr>
        <w:ind w:left="0" w:right="0" w:firstLine="42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2、工程预付款、进度：</w:t>
      </w:r>
      <w:r/>
    </w:p>
    <w:p>
      <w:pPr>
        <w:ind w:left="0" w:right="0" w:firstLine="422"/>
        <w:jc w:val="both"/>
        <w:keepLines w:val="0"/>
        <w:keepNext w:val="0"/>
        <w:pageBreakBefore w:val="0"/>
        <w:spacing w:before="210" w:after="16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合同签订并生效后，工程进度款按当月已完成合格工程量的50%于下月支付，工程竣工验收合格后付至合同金额50%；审计定案后一年内付到审计金额的60%，超过一年不到两年的付到审计金额75%，超过两年不到三年的付到审计金额90%,</w:t>
      </w:r>
      <w:r>
        <w:rPr>
          <w:rFonts w:hint="eastAsia" w:ascii="宋体" w:hAnsi="宋体" w:cs="宋体"/>
          <w:color w:val="auto"/>
          <w:sz w:val="24"/>
          <w:highlight w:val="none"/>
          <w:lang w:val="en-US" w:eastAsia="zh-CN"/>
        </w:rPr>
        <w:t xml:space="preserve">余款在付到90%的基础上一年内付清</w:t>
      </w:r>
      <w:r>
        <w:rPr>
          <w:rFonts w:ascii="宋体" w:hAnsi="宋体" w:eastAsia="宋体" w:cs="宋体"/>
          <w:color w:val="auto"/>
          <w:sz w:val="24"/>
          <w:highlight w:val="none"/>
        </w:rPr>
        <w:t xml:space="preserve">，但是一年度内只能支付一次。工程价款的结算最终以审计机关的审定数为准。</w:t>
      </w:r>
      <w:r>
        <w:rPr>
          <w:rFonts w:hint="eastAsia" w:ascii="宋体" w:hAnsi="宋体" w:eastAsia="宋体" w:cs="宋体"/>
          <w:color w:val="auto"/>
          <w:sz w:val="24"/>
          <w:highlight w:val="none"/>
        </w:rPr>
        <w:t xml:space="preserve">按上述规定金额支付后，项目余款低于10万元的，也一起付清。</w:t>
      </w:r>
      <w:r/>
    </w:p>
    <w:p>
      <w:pPr>
        <w:ind w:left="0" w:right="0" w:firstLine="42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3、材料、设备供应方式：</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（1）甲供材料、设备</w:t>
      </w:r>
      <w:r>
        <w:rPr>
          <w:rFonts w:ascii="宋体" w:hAnsi="宋体" w:eastAsia="宋体" w:cs="宋体"/>
          <w:color w:val="auto"/>
          <w:sz w:val="24"/>
          <w:highlight w:val="none"/>
          <w:u w:val="single"/>
        </w:rPr>
        <w:t xml:space="preserve">无</w:t>
      </w:r>
      <w:r>
        <w:rPr>
          <w:rFonts w:ascii="宋体" w:hAnsi="宋体" w:eastAsia="宋体" w:cs="宋体"/>
          <w:color w:val="auto"/>
          <w:sz w:val="24"/>
          <w:highlight w:val="none"/>
        </w:rPr>
        <w:t xml:space="preserve">。</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（2）乙供材料、设备</w:t>
      </w:r>
      <w:r>
        <w:rPr>
          <w:rFonts w:ascii="宋体" w:hAnsi="宋体" w:eastAsia="宋体" w:cs="宋体"/>
          <w:color w:val="auto"/>
          <w:sz w:val="24"/>
          <w:highlight w:val="none"/>
          <w:u w:val="single"/>
        </w:rPr>
        <w:t xml:space="preserve">全部乙供</w:t>
      </w:r>
      <w:r>
        <w:rPr>
          <w:rFonts w:ascii="宋体" w:hAnsi="宋体" w:eastAsia="宋体" w:cs="宋体"/>
          <w:color w:val="auto"/>
          <w:sz w:val="24"/>
          <w:highlight w:val="none"/>
        </w:rPr>
        <w:t xml:space="preserve">。</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八、施工安全的约定：</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1、工程施工期间涉及安全由乙方全部负责，涉及安全所产生的相关费用一律由乙方承担；</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2、质量必须达到合格，凡因施工单位责任，经验收达不到合格要求，必须返工到合格并承担因返工引起的一切经济损失。</w:t>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3、承包人应当办理有关施工现场交通、环卫、施工噪声等管理手续，若发生费用由承包人负责, 但因采购人原因导致的额外费用应由采购人负责。</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4、工程未交付之前，承包人应自始至终对工程负有看护责任，并承担工程毁损灭失的风险。</w:t>
      </w:r>
      <w:r/>
    </w:p>
    <w:p>
      <w:pPr>
        <w:ind w:left="0" w:right="0" w:firstLine="403"/>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5、施工人员需服从甲方安全管理。</w:t>
      </w:r>
      <w:r/>
    </w:p>
    <w:p>
      <w:pPr>
        <w:ind w:left="0" w:right="0" w:firstLine="403"/>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6、承包人应为现场施工人员投保工伤保险，并保证所有外来劳动人员手续齐全。</w:t>
      </w:r>
      <w:r/>
    </w:p>
    <w:p>
      <w:pPr>
        <w:ind w:left="0" w:right="0" w:firstLine="403"/>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8、承包人需遵守国家和地方有关施工安全的法律法规及标准，并对违反相关规定导致的任何损失、罚款、损害或责任承担全部责任。</w:t>
      </w:r>
      <w:r/>
    </w:p>
    <w:p>
      <w:pPr>
        <w:ind w:left="0" w:right="0" w:firstLine="403"/>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9、承包人不得将工程安全管理责任转包、分包或交由其他单位承担。</w:t>
      </w:r>
      <w:r/>
    </w:p>
    <w:p>
      <w:pPr>
        <w:ind w:left="0" w:right="0" w:firstLine="403"/>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10、如承包人在安全管理方面存在重大违法行为，采购人有权立即终止合同，承包人应承担因此产生的全部损失。</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九、质量保修期</w:t>
      </w:r>
      <w:r/>
    </w:p>
    <w:p>
      <w:pPr>
        <w:ind w:left="0" w:right="0" w:firstLine="403"/>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本项目的质保期为</w:t>
      </w:r>
      <w:r>
        <w:rPr>
          <w:rFonts w:ascii="宋体" w:hAnsi="宋体" w:eastAsia="宋体" w:cs="宋体"/>
          <w:b/>
          <w:color w:val="auto"/>
          <w:sz w:val="24"/>
          <w:highlight w:val="none"/>
          <w:u w:val="single"/>
        </w:rPr>
        <w:t xml:space="preserve">2年</w:t>
      </w:r>
      <w:r>
        <w:rPr>
          <w:rFonts w:ascii="宋体" w:hAnsi="宋体" w:eastAsia="宋体" w:cs="宋体"/>
          <w:color w:val="auto"/>
          <w:sz w:val="24"/>
          <w:highlight w:val="none"/>
        </w:rPr>
        <w:t xml:space="preserve">，自验收合格之日起算。</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十、关于工程质量及验收的约定</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1、工程质量标准：工程质量应达到国家现行的相关行业标准和工程规范的优良等级要求。</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3、若工程获得高于上述标准的奖项，发包人无须给予承包人任何费用增加或奖励。</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4、双方对工程质量（非承包人原因除外）有争议，由合同条款约定的部门处理，诉讼费用及因此造成的损失，由败诉方承担。</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6、乙方应遵守现场的一切规章制度，文明施工，施工所产生的垃圾需当日清理完毕。</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7、由于乙方原因造成质量或安全事故，其返工费用由乙方承担，工期不顺延。</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8、工程未交付之前，承包人应自始至终对成品进行保护和防止丢失。</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工程竣工后，乙方应通知甲方验收，甲方自接到验收通知7日内组织验收，并办理验收、移交手续，如甲方在规定时间内未能组织验收，需及时通知乙方，另定验收日期。但甲方应承认竣工日期，并承担乙方的看管费用和相关费用。</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10、施工周期中，如因承包人原因延期交付，则承包人向发包人按 5000 元/天支付逾期违约金。</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十一、双方的权利和义务</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（一）双方的一般权利</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1、发包人、管理方的一般权利：</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（1）发包人、管理方有权监督整个合同工程的顺利进行。</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（2）承包人应委派专门的人员负责合同工程的施工并将所委派的负责人员名单于开工前2 天提交发包人代表，名单内容应包括人员的姓名、通讯号码，在合同工程中的职务及其他必要信息。在合同执行过程中若负责人员发生变化，承包人应在实际变化前7天书面通知发包人代表，并经总监理工程师及发包人、管理方代表批准。</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（3）发包人、管理方代表有权进入与本合同工程有关的任何工地和现场，但发包人、管理方代表要求进入的时间必须是不影响工程质量和进度的并且是安全的时间。</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如因设计变更而发生的工程数量的增减需在合同价款外增加工程价款时，必须同时经监理人及发包人、管理方代表的认可后，并由发包人、管理方按有关规定办理工程变更审批手续方为有效，且最终需经发包人、管理方委托的造价审计单位审计确认。</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（5）如需对合同工期进行调整时，必须经发包人、管理方书面认可。</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（6）发包人、管理方代表有权要求承包人打开已经掩盖的隐蔽工程，并进行试验和检验，相关工期和费用承担按合同约定执行。</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（7）各项验收必须经监理人及发包人、管理方代表的审查和批准。</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（9）发包人、管理方有权要求承包人从本合同工程中解雇因工作质量和工作中行为不符合合同要求并不接受指导的人员。</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2、承包人的一般权利</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（1）有权要求发包人提供必要的施工条件。</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（2）施工过程中发现的图纸问题有权向发包人和/或监理人提出修正意见。</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（3）承包人有权要求发包人组织必要的技术交底。</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（4）承包人有权要求发包人提供必要的见证等。</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（5）承包人有权按合同规定催要工程款项。</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（6）对发包人、管理方代表及监理人的不良行为有权检举揭发。</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（二）双方的一般义务（工程技术要求另有说明的除外）</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1、发包人的一般义务</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（1）分配和管理施工现场的临时设施用地。</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（2）提供施工临时用水及用电的接驳点。</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（3）开通施工场地与公共道路的通道。</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（4）将水准点与坐标控制点以书面形式交给承包人，并进行现场交验。</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（5）组织设计单位向承包人进行设计图纸交底。</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（6）监督承包人的施工质量及进度。审批核准承包人委托质量试验单位的资格。监督承包人的安全作业。</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（7）协调解决与相关采购工程之间的联系及有关问题。</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2、承包人的一般义务</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（1）向发包人、管理方及其委托的工程监理人提供进入现场所必须的条件，包括“技术要求”中规定的有关内容。</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（2）为发包人、管理方及其委托的工程监理人进入工地和施工现场提供方便和安全条件，并有义务提醒上述进入现场人员要对自己安全负责，向发包人雇用的其他单位提供配合的协作。</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（3）在规定的时间内取得进入工程所在地区施工的许可证等文件，及时缴纳当地政府规定的建设管理费，并在规定的时间内向发包人提供办理《建设工程施工许可证》等政府批文所需的所有材料及必要的协助。</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（4）严格执行安全规程，对承包人管辖人员在施工进程中的工伤和因工死亡承担赔偿和一切善后事务的责任。</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ascii="宋体" w:hAnsi="宋体" w:eastAsia="宋体" w:cs="宋体"/>
          <w:color w:val="auto"/>
          <w:sz w:val="24"/>
          <w:highlight w:val="none"/>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响应；收到再次警告仍不改正或第三次有上述情况发生的，发包人有权禁止承包人参加今后一年内发包人其他项目响应，并通报建设行政主管部门。</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（5）教育所辖人员在施工现场的生活行为符合国家的法律、法令和条例的规定，符合文明习惯和社会公德，以不损害合同工程的声誉。并承担因所辖人员对他人造成损失的赔偿责任。</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（6）遵守地方政府和有关部门对施工场地交通和施工噪音等管理规定，办理相应的手续（有关的费用已包在合同总价中），并承担由于承包人责任违反上述规定的罚款。</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left="0" w:right="0" w:firstLine="42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（8）保证施工现场符合当地环保及文明施工的规定。交工前清理现场达到发包人的要求（包括在施工过程中有上级检查现场时的清理），承担因违反有关规定造成的损失和处罚。</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（9）每月25 日向发包人代表及其监理人提供月工程进度计划及相应进度统计报表和工程事故报告。定期清洁现场，不得堆积垃圾。</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（10）协调施工场地内各交叉作业施工单位和人员之间的关系，保证按要求顺利施工。</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（11）提供所有参与工程施工人员的由国家有关部门颁布的上岗证、技术等证件复印件，施工人员应具备上岗证书并接受发包人和监理人检查。发包人和监理人有权清退无证人员离开施工现场。</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如未经发包人、管理方同意更换项目经理，则视同违约。承包人在中标后（包括合同履行期间）不得擅自更换项目经理，如确需更换，必须在取得发包人、管理方书面同意之后更换，而且即使发包人、管理方同意，仍需向发包人支付5 万元/次的赔偿，以弥补给发包人带来不便的损失。</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（13）承包人的以下人员，经监理人或发包人代表要求，必须在24 小时内调离本工程，否则每人每天承包人支付违约金2000 元；同时，承包人应在3 天内用监理人批准的合格人员代替上述调离的人员，否则每拖延1 天承包人支付每人每天违约金500 元。</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A、对施工进度及施工质量达不到合同要求负有责任的施工人员。</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B、不熟悉本专业工作、工作责任心不强的施工人员。</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C、不能积极配合监理人工作者。</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D、违反监理人或承包人工地现场管理规定者。</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E、无证上岗者（适用于按规定必须有上岗证）。</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F、与监理人要求的人员名单不符者。</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G、与本工程施工无关的人员。</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14）承包人项目经理（副经理）、项目技术负责人、安全负责人、专业工程负责人、其他监理人或发包人要求人员，必须参加每周工程例会及监理人/发包人召集的会议，因故不能参加的应提前4小时向监理人提出申请并在获得监理人批准后方可缺席，否则承包人向发包人支付违约金5000元/人次。</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15）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元，并应按照监理人指令进行改正。</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（16）工地现场、生活区设施和场地内围墙、其他内外道路由承包人自行解决，</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其做法必须符合当地政府相关规定及监理人和发包人的要求。承包人负责做好门前三清工作，包括由于工程施工而使用的施工通道整修、清理。</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（17）承包人在进入施工现场后，应在发包人、管理方指定的位置按统一规划的平面布置搭设活动房作为临时设施。</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（18）协调施工场地内各交叉作业施工单位和人员之间的关系，保证按要求顺利施工。</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（19）承包人应按相关规定为其所辖人员办理相关保险，如：工伤及因工死亡的保险。</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20）承包人出现不正当行为（如因拖欠工资等债务纠纷，或在现场产生公害等等），从而给发包人造成不便、或影响发包人公众形象的，则每出现一次上述情况，视情节轻重，承包人向发包人支付人民币2万元至10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十二、承诺</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1.发包人承诺按照合同约定的期限和方式支付合同价款。</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3.发包人和承包人通过招响应形式签订合同的，双方理解并承诺不再就同一工程另行签订与合同实质性内容相背离的协议。</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十三、词语含义</w:t>
      </w:r>
      <w:r/>
    </w:p>
    <w:p>
      <w:pPr>
        <w:ind w:left="0" w:right="0" w:firstLine="315"/>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本协议书中词语含义与（GF—2013—0201）建设工程施工合同（示范文本）第二部分通用合同条款中赋予的含义相同。</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十四、签订地点</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本合同在签订。</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十五、补充协议</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合同未尽事宜，合同当事人另行签订补充协议，补充协议是合同的组成部分。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十六、合同生效</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本合同自</w:t>
      </w:r>
      <w:r>
        <w:rPr>
          <w:rFonts w:ascii="宋体" w:hAnsi="宋体" w:eastAsia="宋体" w:cs="宋体"/>
          <w:color w:val="auto"/>
          <w:sz w:val="24"/>
          <w:highlight w:val="none"/>
          <w:u w:val="single"/>
        </w:rPr>
        <w:t xml:space="preserve">双方签字加盖公章（或合同专用章）后生</w:t>
      </w:r>
      <w:r>
        <w:rPr>
          <w:rFonts w:ascii="宋体" w:hAnsi="宋体" w:eastAsia="宋体" w:cs="宋体"/>
          <w:color w:val="auto"/>
          <w:sz w:val="24"/>
          <w:highlight w:val="none"/>
        </w:rPr>
        <w:t xml:space="preserve">效，合同生效后上传至网上系统。</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十七、合同份数</w:t>
      </w:r>
      <w:r/>
    </w:p>
    <w:p>
      <w:pPr>
        <w:ind w:left="0" w:right="0" w:firstLine="482"/>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本合同一式</w:t>
      </w:r>
      <w:r>
        <w:rPr>
          <w:rFonts w:hint="eastAsia" w:ascii="宋体" w:hAnsi="宋体" w:cs="宋体"/>
          <w:color w:val="auto"/>
          <w:sz w:val="24"/>
          <w:highlight w:val="none"/>
          <w:lang w:val="en-US" w:eastAsia="zh-CN"/>
        </w:rPr>
        <w:t xml:space="preserve">八</w:t>
      </w:r>
      <w:r>
        <w:rPr>
          <w:rFonts w:ascii="宋体" w:hAnsi="宋体" w:eastAsia="宋体" w:cs="宋体"/>
          <w:color w:val="auto"/>
          <w:sz w:val="24"/>
          <w:highlight w:val="none"/>
        </w:rPr>
        <w:t xml:space="preserve">份，均具有同等法律效力，发包人执</w:t>
      </w:r>
      <w:r>
        <w:rPr>
          <w:rFonts w:hint="eastAsia" w:ascii="宋体" w:hAnsi="宋体" w:cs="宋体"/>
          <w:color w:val="auto"/>
          <w:sz w:val="24"/>
          <w:highlight w:val="none"/>
          <w:u w:val="single"/>
          <w:lang w:val="en-US" w:eastAsia="zh-CN"/>
        </w:rPr>
        <w:t xml:space="preserve">四</w:t>
      </w:r>
      <w:r>
        <w:rPr>
          <w:rFonts w:ascii="宋体" w:hAnsi="宋体" w:eastAsia="宋体" w:cs="宋体"/>
          <w:color w:val="auto"/>
          <w:sz w:val="24"/>
          <w:highlight w:val="none"/>
        </w:rPr>
        <w:t xml:space="preserve">份，承包人执</w:t>
      </w:r>
      <w:r>
        <w:rPr>
          <w:rFonts w:ascii="宋体" w:hAnsi="宋体" w:eastAsia="宋体" w:cs="宋体"/>
          <w:color w:val="auto"/>
          <w:sz w:val="24"/>
          <w:highlight w:val="none"/>
          <w:u w:val="single"/>
        </w:rPr>
        <w:t xml:space="preserve">两</w:t>
      </w:r>
      <w:r>
        <w:rPr>
          <w:rFonts w:ascii="宋体" w:hAnsi="宋体" w:eastAsia="宋体" w:cs="宋体"/>
          <w:color w:val="auto"/>
          <w:sz w:val="24"/>
          <w:highlight w:val="none"/>
        </w:rPr>
        <w:t xml:space="preserve">份，采购代理机构及政府采购办公室各执</w:t>
      </w:r>
      <w:r>
        <w:rPr>
          <w:rFonts w:ascii="宋体" w:hAnsi="宋体" w:eastAsia="宋体" w:cs="宋体"/>
          <w:color w:val="auto"/>
          <w:sz w:val="24"/>
          <w:highlight w:val="none"/>
          <w:u w:val="single"/>
        </w:rPr>
        <w:t xml:space="preserve">一</w:t>
      </w:r>
      <w:r>
        <w:rPr>
          <w:rFonts w:ascii="宋体" w:hAnsi="宋体" w:eastAsia="宋体" w:cs="宋体"/>
          <w:color w:val="auto"/>
          <w:sz w:val="24"/>
          <w:highlight w:val="none"/>
        </w:rPr>
        <w:t xml:space="preserve">份。</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十八、其他</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1、生效后的合同应当在___工作日内经财政局备案，由乙方负责办理备案手续。</w:t>
      </w:r>
      <w:r/>
    </w:p>
    <w:p>
      <w:pPr>
        <w:ind w:left="0" w:right="0" w:firstLine="42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合同经备案生效后供需双方即直接产生权利与义务的关系，合同执行过程中出现的问题应按照《中华人民共和国民法典》的规定办理。在合同履行过程中，双方如有争议，则任何一方均可向甲方所在地人民法院提起诉讼。</w:t>
      </w:r>
      <w:r/>
    </w:p>
    <w:p>
      <w:pPr>
        <w:ind w:left="0" w:right="0" w:firstLine="468"/>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20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20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20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20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20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20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20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20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20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20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20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20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20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合同附件1：</w:t>
      </w:r>
      <w:r/>
    </w:p>
    <w:p>
      <w:pPr>
        <w:ind w:left="0" w:right="0" w:firstLine="0"/>
        <w:jc w:val="center"/>
        <w:keepLines w:val="0"/>
        <w:keepNext w:val="0"/>
        <w:pageBreakBefore w:val="0"/>
        <w:spacing w:before="156" w:after="156"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工程质量保修书</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发包人（全称）：</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承包人（全称）：</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发包人和承包人根据《中华人民共和国建筑法》和《建设工程质量管理条例》，经协商一致就（工程全称）签订工程质量保修书。</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一、工程质量保修范围和内容</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承包人在质量保修期内，按照有关法律规定和合同约定，承担工程质量保修责任。</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二、质量保修期</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根据《建设工程质量管理条例》及有关规定，工程的质量保修期如下：</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1．地基基础工程和主体结构工程为设计文件规定的工程合理使用年限；</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2．屋面防水工程、有防水要求的卫生间、房间和外墙面的防渗为</w:t>
      </w:r>
      <w:r>
        <w:rPr>
          <w:rFonts w:ascii="宋体" w:hAnsi="宋体" w:eastAsia="宋体" w:cs="宋体"/>
          <w:color w:val="auto"/>
          <w:sz w:val="24"/>
          <w:highlight w:val="none"/>
          <w:u w:val="single"/>
        </w:rPr>
        <w:t xml:space="preserve">5 </w:t>
      </w:r>
      <w:r>
        <w:rPr>
          <w:rFonts w:ascii="宋体" w:hAnsi="宋体" w:eastAsia="宋体" w:cs="宋体"/>
          <w:color w:val="auto"/>
          <w:sz w:val="24"/>
          <w:highlight w:val="none"/>
        </w:rPr>
        <w:t xml:space="preserve">年；</w:t>
      </w:r>
      <w:r/>
    </w:p>
    <w:p>
      <w:pPr>
        <w:ind w:left="420" w:right="0" w:firstLine="1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3．装修工程为</w:t>
      </w:r>
      <w:r>
        <w:rPr>
          <w:rFonts w:ascii="宋体" w:hAnsi="宋体" w:eastAsia="宋体" w:cs="宋体"/>
          <w:color w:val="auto"/>
          <w:sz w:val="24"/>
          <w:highlight w:val="none"/>
          <w:u w:val="single"/>
        </w:rPr>
        <w:t xml:space="preserve">2 </w:t>
      </w:r>
      <w:r>
        <w:rPr>
          <w:rFonts w:ascii="宋体" w:hAnsi="宋体" w:eastAsia="宋体" w:cs="宋体"/>
          <w:color w:val="auto"/>
          <w:sz w:val="24"/>
          <w:highlight w:val="none"/>
        </w:rPr>
        <w:t xml:space="preserve">年；</w:t>
      </w:r>
      <w:r/>
    </w:p>
    <w:p>
      <w:pPr>
        <w:ind w:left="420" w:right="0" w:firstLine="1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4．电气管线、给排水管道、设备安装工程为</w:t>
      </w:r>
      <w:r>
        <w:rPr>
          <w:rFonts w:ascii="宋体" w:hAnsi="宋体" w:eastAsia="宋体" w:cs="宋体"/>
          <w:color w:val="auto"/>
          <w:sz w:val="24"/>
          <w:highlight w:val="none"/>
          <w:u w:val="single"/>
        </w:rPr>
        <w:t xml:space="preserve">2 </w:t>
      </w:r>
      <w:r>
        <w:rPr>
          <w:rFonts w:ascii="宋体" w:hAnsi="宋体" w:eastAsia="宋体" w:cs="宋体"/>
          <w:color w:val="auto"/>
          <w:sz w:val="24"/>
          <w:highlight w:val="none"/>
        </w:rPr>
        <w:t xml:space="preserve">年；</w:t>
      </w:r>
      <w:r/>
    </w:p>
    <w:p>
      <w:pPr>
        <w:ind w:left="420" w:right="0" w:firstLine="1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5．供热与供冷系统为</w:t>
      </w:r>
      <w:r>
        <w:rPr>
          <w:rFonts w:ascii="宋体" w:hAnsi="宋体" w:eastAsia="宋体" w:cs="宋体"/>
          <w:color w:val="auto"/>
          <w:sz w:val="24"/>
          <w:highlight w:val="none"/>
          <w:u w:val="single"/>
        </w:rPr>
        <w:t xml:space="preserve">2 </w:t>
      </w:r>
      <w:r>
        <w:rPr>
          <w:rFonts w:ascii="宋体" w:hAnsi="宋体" w:eastAsia="宋体" w:cs="宋体"/>
          <w:color w:val="auto"/>
          <w:sz w:val="24"/>
          <w:highlight w:val="none"/>
        </w:rPr>
        <w:t xml:space="preserve">个采暖期、供冷期；</w:t>
      </w:r>
      <w:r/>
    </w:p>
    <w:p>
      <w:pPr>
        <w:ind w:left="420" w:right="0" w:firstLine="1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6．住宅小区内的给排水设施、道路等配套工程为</w:t>
      </w:r>
      <w:r>
        <w:rPr>
          <w:rFonts w:ascii="宋体" w:hAnsi="宋体" w:eastAsia="宋体" w:cs="宋体"/>
          <w:color w:val="auto"/>
          <w:sz w:val="24"/>
          <w:highlight w:val="none"/>
          <w:u w:val="single"/>
        </w:rPr>
        <w:t xml:space="preserve">2 </w:t>
      </w:r>
      <w:r>
        <w:rPr>
          <w:rFonts w:ascii="宋体" w:hAnsi="宋体" w:eastAsia="宋体" w:cs="宋体"/>
          <w:color w:val="auto"/>
          <w:sz w:val="24"/>
          <w:highlight w:val="none"/>
        </w:rPr>
        <w:t xml:space="preserve">年；</w:t>
      </w:r>
      <w:r/>
    </w:p>
    <w:p>
      <w:pPr>
        <w:ind w:left="420" w:right="0" w:firstLine="1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7．其他项目保修期限约定如下：</w:t>
      </w:r>
      <w:r>
        <w:rPr>
          <w:rFonts w:ascii="宋体" w:hAnsi="宋体" w:eastAsia="宋体" w:cs="宋体"/>
          <w:color w:val="auto"/>
          <w:sz w:val="24"/>
          <w:highlight w:val="none"/>
          <w:u w:val="single"/>
        </w:rPr>
        <w:t xml:space="preserve">景观绿化、智能化、亮化工程为2年</w:t>
      </w:r>
      <w:r>
        <w:rPr>
          <w:rFonts w:ascii="宋体" w:hAnsi="宋体" w:eastAsia="宋体" w:cs="宋体"/>
          <w:color w:val="auto"/>
          <w:sz w:val="24"/>
          <w:highlight w:val="none"/>
        </w:rPr>
        <w:t xml:space="preserve">。</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质量保修期自工程竣工验收合格之日起计算。</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三、缺陷责任期</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工程缺陷责任期为</w:t>
      </w:r>
      <w:r>
        <w:rPr>
          <w:rFonts w:ascii="宋体" w:hAnsi="宋体" w:eastAsia="宋体" w:cs="宋体"/>
          <w:b/>
          <w:color w:val="auto"/>
          <w:sz w:val="24"/>
          <w:highlight w:val="none"/>
          <w:u w:val="single"/>
        </w:rPr>
        <w:t xml:space="preserve">24</w:t>
      </w:r>
      <w:r>
        <w:rPr>
          <w:rFonts w:ascii="宋体" w:hAnsi="宋体" w:eastAsia="宋体" w:cs="宋体"/>
          <w:color w:val="auto"/>
          <w:sz w:val="24"/>
          <w:highlight w:val="none"/>
        </w:rPr>
        <w:t xml:space="preserve">个月，缺陷责任期自工程实际竣工之日起计算。单位工程先于全部工程进行验收，单位工程缺陷责任期自单位工程验收合格之日起算。</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缺陷责任期终止后，发包人应退还剩余的质量保证金。</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四、质量保修责任</w:t>
      </w:r>
      <w:r/>
    </w:p>
    <w:p>
      <w:pPr>
        <w:ind w:left="105" w:right="0" w:firstLine="491"/>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1．属于保修范围、内容的项目，承包人应当在接到保修通知之日起7天内派人保修。承包人不在约定期限内派人保修的，发包人可以委托他人修理。</w:t>
      </w:r>
      <w:r/>
    </w:p>
    <w:p>
      <w:pPr>
        <w:ind w:left="105" w:right="0" w:firstLine="491"/>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2．发生紧急事故需抢修的，承包人在接到事故通知后，应当立即到达事故现场抢修。</w:t>
      </w:r>
      <w:r/>
    </w:p>
    <w:p>
      <w:pPr>
        <w:ind w:left="105" w:right="0" w:firstLine="491"/>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4．质量保修完成后，由发包人组织验收，承包人应提供书面验收报告明示保修工作完成并达到约定的质量标准。</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五、保修费用</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保修费用由造成质量缺陷的责任方承担。</w:t>
      </w:r>
      <w:r/>
    </w:p>
    <w:p>
      <w:pPr>
        <w:ind w:left="0" w:right="0" w:firstLine="42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六、双方约定的其他工程质量保修事项：</w:t>
      </w:r>
      <w:r>
        <w:rPr>
          <w:rFonts w:ascii="宋体" w:hAnsi="宋体" w:eastAsia="宋体" w:cs="宋体"/>
          <w:color w:val="auto"/>
          <w:sz w:val="24"/>
          <w:highlight w:val="none"/>
          <w:u w:val="single"/>
        </w:rPr>
        <w:t xml:space="preserve">无</w:t>
      </w:r>
      <w:r>
        <w:rPr>
          <w:rFonts w:ascii="宋体" w:hAnsi="宋体" w:eastAsia="宋体" w:cs="宋体"/>
          <w:color w:val="auto"/>
          <w:sz w:val="24"/>
          <w:highlight w:val="none"/>
        </w:rPr>
        <w:t xml:space="preserve">。</w:t>
      </w:r>
      <w:r/>
    </w:p>
    <w:p>
      <w:pPr>
        <w:ind w:left="0" w:right="0" w:firstLine="456"/>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工程质量保修书由发包人、承包人在工程竣工验收前共同签署，作为施工合同附件，其有效期限至保修期满。</w:t>
      </w:r>
      <w:r/>
    </w:p>
    <w:p>
      <w:pPr>
        <w:ind w:left="0" w:right="0" w:firstLine="42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发包人(公章)： 承包人(公章)：</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法定代表人(签字或盖章)： 法定代表人(签字或盖章)：</w:t>
      </w:r>
      <w:r/>
    </w:p>
    <w:p>
      <w:pPr>
        <w:ind w:left="0" w:right="0" w:firstLine="0"/>
        <w:jc w:val="both"/>
        <w:keepLines w:val="0"/>
        <w:keepNext w:val="0"/>
        <w:pageBreakBefore w:val="0"/>
        <w:spacing w:before="210" w:after="12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210" w:after="160" w:line="360" w:lineRule="auto"/>
        <w:widowControl/>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合同附件</w:t>
      </w:r>
      <w:r>
        <w:rPr>
          <w:rFonts w:hint="eastAsia" w:ascii="宋体" w:hAnsi="宋体" w:cs="宋体"/>
          <w:b/>
          <w:bCs/>
          <w:color w:val="auto"/>
          <w:sz w:val="24"/>
          <w:szCs w:val="24"/>
          <w:highlight w:val="none"/>
          <w:lang w:val="en-US" w:eastAsia="zh-CN"/>
        </w:rPr>
        <w:t xml:space="preserve">2</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安全生产协议书</w:t>
      </w:r>
      <w:r/>
    </w:p>
    <w:p>
      <w:pPr>
        <w:ind w:left="31"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发包人（甲方）：</w:t>
      </w:r>
      <w:r/>
    </w:p>
    <w:p>
      <w:pPr>
        <w:ind w:left="31"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auto"/>
          <w:sz w:val="24"/>
          <w:highlight w:val="none"/>
        </w:rPr>
        <w:t xml:space="preserve">承包人（乙方）：</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1"/>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工程概况</w:t>
      </w:r>
      <w:r/>
    </w:p>
    <w:p>
      <w:pPr>
        <w:ind w:left="0"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工程名称：</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工程地点：</w:t>
      </w:r>
      <w:r>
        <w:rPr>
          <w:rFonts w:ascii="宋体" w:hAnsi="宋体" w:eastAsia="宋体" w:cs="宋体"/>
          <w:color w:val="auto"/>
          <w:sz w:val="24"/>
          <w:highlight w:val="none"/>
          <w:u w:val="single"/>
        </w:rPr>
        <w:t xml:space="preserve">甲方指定地点 </w:t>
      </w:r>
      <w:r/>
    </w:p>
    <w:p>
      <w:pPr>
        <w:numPr>
          <w:ilvl w:val="0"/>
          <w:numId w:val="1"/>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乙方资质及安全生产条件：</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乙方应对承揽本工程所提供的资质、安全生产资格证书、安全生产条件等有关资料真实性负责。</w:t>
      </w:r>
      <w:r/>
    </w:p>
    <w:p>
      <w:pPr>
        <w:numPr>
          <w:ilvl w:val="0"/>
          <w:numId w:val="1"/>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现场负责人及安全生产管理人员：</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　　乙方指定本工程项目经理为现场负责人；并落实专职安全生产管理人员。　　　　</w:t>
      </w:r>
      <w:r/>
    </w:p>
    <w:p>
      <w:pPr>
        <w:numPr>
          <w:ilvl w:val="0"/>
          <w:numId w:val="1"/>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甲方的责任和权利</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1、甲方应要求乙方制定</w:t>
      </w:r>
      <w:r>
        <w:rPr>
          <w:color w:val="auto"/>
          <w:highlight w:val="none"/>
        </w:rPr>
        <w:fldChar w:fldCharType="begin"/>
      </w:r>
      <w:r>
        <w:rPr>
          <w:color w:val="auto"/>
          <w:highlight w:val="none"/>
        </w:rPr>
        <w:instrText xml:space="preserve"> HYPERLINK "http://www.hbsafety.cn/article/63/" \o "http://www.hbsafety.cn/article/63/" </w:instrText>
      </w:r>
      <w:r>
        <w:rPr>
          <w:color w:val="auto"/>
          <w:highlight w:val="none"/>
        </w:rPr>
        <w:fldChar w:fldCharType="separate"/>
      </w:r>
      <w:r>
        <w:rPr>
          <w:rStyle w:val="707"/>
          <w:rFonts w:ascii="宋体" w:hAnsi="宋体" w:eastAsia="宋体" w:cs="宋体"/>
          <w:color w:val="auto"/>
          <w:sz w:val="24"/>
          <w:highlight w:val="none"/>
          <w:u w:val="single"/>
        </w:rPr>
        <w:t xml:space="preserve">施工安全</w:t>
      </w:r>
      <w:r>
        <w:rPr>
          <w:rStyle w:val="707"/>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措施，在开始施工前报甲方备案。 </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3、甲方指派本工程监理单位及总监理工程师负责与乙方联系安全生产方面的工作。</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4、乙方在施工中发生的人身、财产</w:t>
      </w:r>
      <w:r>
        <w:rPr>
          <w:color w:val="auto"/>
          <w:highlight w:val="none"/>
        </w:rPr>
        <w:fldChar w:fldCharType="begin"/>
      </w:r>
      <w:r>
        <w:rPr>
          <w:color w:val="auto"/>
          <w:highlight w:val="none"/>
        </w:rPr>
        <w:instrText xml:space="preserve"> HYPERLINK "http://www.hbsafety.cn/article/33/" \o "http://www.hbsafety.cn/article/33/" </w:instrText>
      </w:r>
      <w:r>
        <w:rPr>
          <w:color w:val="auto"/>
          <w:highlight w:val="none"/>
        </w:rPr>
        <w:fldChar w:fldCharType="separate"/>
      </w:r>
      <w:r>
        <w:rPr>
          <w:rStyle w:val="707"/>
          <w:rFonts w:ascii="宋体" w:hAnsi="宋体" w:eastAsia="宋体" w:cs="宋体"/>
          <w:color w:val="auto"/>
          <w:sz w:val="24"/>
          <w:highlight w:val="none"/>
          <w:u w:val="single"/>
        </w:rPr>
        <w:t xml:space="preserve">事故</w:t>
      </w:r>
      <w:r>
        <w:rPr>
          <w:rStyle w:val="707"/>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，甲方有责任负责调查、统计上报。乙方在施工中如发生国务院《特别重大</w:t>
      </w:r>
      <w:r>
        <w:rPr>
          <w:color w:val="auto"/>
          <w:highlight w:val="none"/>
        </w:rPr>
        <w:fldChar w:fldCharType="begin"/>
      </w:r>
      <w:r>
        <w:rPr>
          <w:color w:val="auto"/>
          <w:highlight w:val="none"/>
        </w:rPr>
        <w:instrText xml:space="preserve"> HYPERLINK "http://www.hbsafety.cn/article/33/" \o "http://www.hbsafety.cn/article/33/" </w:instrText>
      </w:r>
      <w:r>
        <w:rPr>
          <w:color w:val="auto"/>
          <w:highlight w:val="none"/>
        </w:rPr>
        <w:fldChar w:fldCharType="separate"/>
      </w:r>
      <w:r>
        <w:rPr>
          <w:rStyle w:val="707"/>
          <w:rFonts w:ascii="宋体" w:hAnsi="宋体" w:eastAsia="宋体" w:cs="宋体"/>
          <w:color w:val="auto"/>
          <w:sz w:val="24"/>
          <w:highlight w:val="none"/>
          <w:u w:val="single"/>
        </w:rPr>
        <w:t xml:space="preserve">事故</w:t>
      </w:r>
      <w:r>
        <w:rPr>
          <w:rStyle w:val="707"/>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调查程序暂行规定》所规定的特大</w:t>
      </w:r>
      <w:r>
        <w:rPr>
          <w:color w:val="auto"/>
          <w:highlight w:val="none"/>
        </w:rPr>
        <w:fldChar w:fldCharType="begin"/>
      </w:r>
      <w:r>
        <w:rPr>
          <w:color w:val="auto"/>
          <w:highlight w:val="none"/>
        </w:rPr>
        <w:instrText xml:space="preserve"> HYPERLINK "http://www.hbsafety.cn/article/33/" \o "http://www.hbsafety.cn/article/33/" </w:instrText>
      </w:r>
      <w:r>
        <w:rPr>
          <w:color w:val="auto"/>
          <w:highlight w:val="none"/>
        </w:rPr>
        <w:fldChar w:fldCharType="separate"/>
      </w:r>
      <w:r>
        <w:rPr>
          <w:rStyle w:val="707"/>
          <w:rFonts w:ascii="宋体" w:hAnsi="宋体" w:eastAsia="宋体" w:cs="宋体"/>
          <w:color w:val="auto"/>
          <w:sz w:val="24"/>
          <w:highlight w:val="none"/>
          <w:u w:val="single"/>
        </w:rPr>
        <w:t xml:space="preserve">事故</w:t>
      </w:r>
      <w:r>
        <w:rPr>
          <w:rStyle w:val="707"/>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，甲方有权督促乙方立即通知当地政府和公安部门，要求派人保护现场；并有权要求乙方提供</w:t>
      </w:r>
      <w:r>
        <w:rPr>
          <w:color w:val="auto"/>
          <w:highlight w:val="none"/>
        </w:rPr>
        <w:fldChar w:fldCharType="begin"/>
      </w:r>
      <w:r>
        <w:rPr>
          <w:color w:val="auto"/>
          <w:highlight w:val="none"/>
        </w:rPr>
        <w:instrText xml:space="preserve"> HYPERLINK "http://www.hbsafety.cn/article/33/" \o "http://www.hbsafety.cn/article/33/" </w:instrText>
      </w:r>
      <w:r>
        <w:rPr>
          <w:color w:val="auto"/>
          <w:highlight w:val="none"/>
        </w:rPr>
        <w:fldChar w:fldCharType="separate"/>
      </w:r>
      <w:r>
        <w:rPr>
          <w:rStyle w:val="707"/>
          <w:rFonts w:ascii="宋体" w:hAnsi="宋体" w:eastAsia="宋体" w:cs="宋体"/>
          <w:color w:val="auto"/>
          <w:sz w:val="24"/>
          <w:highlight w:val="none"/>
          <w:u w:val="single"/>
        </w:rPr>
        <w:t xml:space="preserve">事故</w:t>
      </w:r>
      <w:r>
        <w:rPr>
          <w:rStyle w:val="707"/>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调查书面结论及处理意见。</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5、甲方不得要求乙方违反</w:t>
      </w:r>
      <w:r>
        <w:rPr>
          <w:color w:val="auto"/>
          <w:highlight w:val="none"/>
        </w:rPr>
        <w:fldChar w:fldCharType="begin"/>
      </w:r>
      <w:r>
        <w:rPr>
          <w:color w:val="auto"/>
          <w:highlight w:val="none"/>
        </w:rPr>
        <w:instrText xml:space="preserve"> HYPERLINK "http://www.hbsafety.cn/article/12/" \o "http://www.hbsafety.cn/article/12/" </w:instrText>
      </w:r>
      <w:r>
        <w:rPr>
          <w:color w:val="auto"/>
          <w:highlight w:val="none"/>
        </w:rPr>
        <w:fldChar w:fldCharType="separate"/>
      </w:r>
      <w:r>
        <w:rPr>
          <w:rStyle w:val="707"/>
          <w:rFonts w:ascii="宋体" w:hAnsi="宋体" w:eastAsia="宋体" w:cs="宋体"/>
          <w:color w:val="auto"/>
          <w:sz w:val="24"/>
          <w:highlight w:val="none"/>
          <w:u w:val="single"/>
        </w:rPr>
        <w:t xml:space="preserve">安全管理</w:t>
      </w:r>
      <w:r>
        <w:rPr>
          <w:rStyle w:val="707"/>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规定进行施工。因甲方原因导致的</w:t>
      </w:r>
      <w:r>
        <w:rPr>
          <w:color w:val="auto"/>
          <w:highlight w:val="none"/>
        </w:rPr>
        <w:fldChar w:fldCharType="begin"/>
      </w:r>
      <w:r>
        <w:rPr>
          <w:color w:val="auto"/>
          <w:highlight w:val="none"/>
        </w:rPr>
        <w:instrText xml:space="preserve"> HYPERLINK "http://www.hbsafety.cn/article/33/" \o "http://www.hbsafety.cn/article/33/" </w:instrText>
      </w:r>
      <w:r>
        <w:rPr>
          <w:color w:val="auto"/>
          <w:highlight w:val="none"/>
        </w:rPr>
        <w:fldChar w:fldCharType="separate"/>
      </w:r>
      <w:r>
        <w:rPr>
          <w:rStyle w:val="707"/>
          <w:rFonts w:ascii="宋体" w:hAnsi="宋体" w:eastAsia="宋体" w:cs="宋体"/>
          <w:color w:val="auto"/>
          <w:sz w:val="24"/>
          <w:highlight w:val="none"/>
          <w:u w:val="single"/>
        </w:rPr>
        <w:t xml:space="preserve">事故</w:t>
      </w:r>
      <w:r>
        <w:rPr>
          <w:rStyle w:val="707"/>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由甲方承担责任。</w:t>
      </w:r>
      <w:r/>
    </w:p>
    <w:p>
      <w:pPr>
        <w:numPr>
          <w:ilvl w:val="0"/>
          <w:numId w:val="1"/>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乙方的责任和权利</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1、乙方负责人是安全生产的第一责任人，对安全生产负全责。</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2、乙方的安全目标应与甲方总体安全目标相一致。</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3、严格执行甲方的安全生产管理制度及甲方的质量、职业健康安全、环境管理体系标准。遵守国家有关法律、法规、国家标准或行业标准和安全技术操作规程。</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4、建立健全安全生产保证体系及安全组织机构，设立专职安全生产管理人员，建立健全现场安全责任制和消防安全责任制度。</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5、乙方的项目负责人、专职安全生产管理人员和特种作业人员应按照国家有关规定经过培训考核合格后，持岗位证上岗。</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6、乙方投入现场的全部机械及各类生产工具，必须经检验合格，符合国家的有关标准并遵守操作规程。</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7、乙方必须为从事危险作业的人员办理意外伤害保险，支付保险费，并将保单复印件交给甲方备查。</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8、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9、施工过程中对人的不安全行为，物的不安全状态，作业环境的不安全因素和管理缺陷进行控制。严格按照安全施工要求进行施工，杜绝强令员工冒险作业和违章作业现象出现。</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10、乙方施工现场的安全控制由乙方单位负责人负责。服从监理单位、建设单位对施工现场的安全管理。</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11、按部颁ＪＧＪ５９—９９标准要求对施工现场进行有效控制。如有严重违反ＪＧＪ５９—９９标准保证项目条款，甲方单位有权提出停工并要求乙方支付违约金。</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12、平时进行安全检查，对安全隐患及时整改。对甲方单位签发的安全检查整改通知单应无条件地整改。</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13、乙方有权对甲方的安全管理提出合理化建议。</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14、每月在规定的时间内及时向甲方上报各种安全统计数据。</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15、乙方在施工过程中一旦发生安全事故，应当按照国家有关伤亡事故报告和调查处理的规定，及时如实上报；生产安全事故发生后，乙方应当采取措施防止事故扩大，保护事故现场。按照国家有关规定进行调查、处理，做好事故的善后处理工作。乙方应负责与甲方及时沟通，确定具体责任，并协商处理由事故造成的经济损失，确保甲方利益不受损害，不得将事故隐瞒不报。</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16、乙方在施工中必须加强安全管理，由于管理不到位造成负面影响，乙方将承担全部责任，并承担由此给甲方造成的名誉及经济损失。</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17、如果乙方不遵守本合同条款，甲方将取消其分包商资格，不再继续与其合作。</w:t>
      </w:r>
      <w:r/>
    </w:p>
    <w:p>
      <w:pPr>
        <w:numPr>
          <w:ilvl w:val="0"/>
          <w:numId w:val="1"/>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color w:val="auto"/>
          <w:highlight w:val="none"/>
        </w:rPr>
        <w:fldChar w:fldCharType="begin"/>
      </w:r>
      <w:r>
        <w:rPr>
          <w:color w:val="auto"/>
          <w:highlight w:val="none"/>
        </w:rPr>
        <w:instrText xml:space="preserve"> HYPERLINK "http://www.hbsafety.cn/article/63/" \o "http://www.hbsafety.cn/article/63/" </w:instrText>
      </w:r>
      <w:r>
        <w:rPr>
          <w:color w:val="auto"/>
          <w:highlight w:val="none"/>
        </w:rPr>
        <w:fldChar w:fldCharType="separate"/>
      </w:r>
      <w:r>
        <w:rPr>
          <w:rStyle w:val="707"/>
          <w:rFonts w:ascii="宋体" w:hAnsi="宋体" w:eastAsia="宋体" w:cs="宋体"/>
          <w:color w:val="auto"/>
          <w:sz w:val="24"/>
          <w:highlight w:val="none"/>
          <w:u w:val="single"/>
        </w:rPr>
        <w:t xml:space="preserve">施工安全</w:t>
      </w:r>
      <w:r>
        <w:rPr>
          <w:rStyle w:val="707"/>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违约金 </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若施工过程中发生安全</w:t>
      </w:r>
      <w:r>
        <w:rPr>
          <w:color w:val="auto"/>
          <w:highlight w:val="none"/>
        </w:rPr>
        <w:fldChar w:fldCharType="begin"/>
      </w:r>
      <w:r>
        <w:rPr>
          <w:color w:val="auto"/>
          <w:highlight w:val="none"/>
        </w:rPr>
        <w:instrText xml:space="preserve"> HYPERLINK "http://www.hbsafety.cn/article/33/" \o "http://www.hbsafety.cn/article/33/" </w:instrText>
      </w:r>
      <w:r>
        <w:rPr>
          <w:color w:val="auto"/>
          <w:highlight w:val="none"/>
        </w:rPr>
        <w:fldChar w:fldCharType="separate"/>
      </w:r>
      <w:r>
        <w:rPr>
          <w:rStyle w:val="707"/>
          <w:rFonts w:ascii="宋体" w:hAnsi="宋体" w:eastAsia="宋体" w:cs="宋体"/>
          <w:color w:val="auto"/>
          <w:sz w:val="24"/>
          <w:highlight w:val="none"/>
          <w:u w:val="single"/>
        </w:rPr>
        <w:t xml:space="preserve">事故</w:t>
      </w:r>
      <w:r>
        <w:rPr>
          <w:rStyle w:val="707"/>
          <w:rFonts w:ascii="宋体" w:hAnsi="宋体" w:eastAsia="宋体" w:cs="宋体"/>
          <w:color w:val="auto"/>
          <w:sz w:val="24"/>
          <w:highlight w:val="none"/>
          <w:u w:val="single"/>
        </w:rPr>
        <w:fldChar w:fldCharType="end"/>
      </w:r>
      <w:r>
        <w:rPr>
          <w:rFonts w:ascii="宋体" w:hAnsi="宋体" w:eastAsia="宋体" w:cs="宋体"/>
          <w:color w:val="auto"/>
          <w:sz w:val="24"/>
          <w:highlight w:val="none"/>
        </w:rPr>
        <w:t xml:space="preserve">，乙方除承担相应的经济赔偿责任及其它法律责任外，如因此给甲方增加额外工作的，甲方有权扣除乙方应得工程款3%以内的金额作为安全违约金。</w:t>
      </w:r>
      <w:r/>
    </w:p>
    <w:p>
      <w:pPr>
        <w:numPr>
          <w:ilvl w:val="0"/>
          <w:numId w:val="1"/>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其他</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1、本合同签订后，未经双方共同协商同意，任何一方不得私自改动或终止。</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2、本合同与工程合同具有同等效力，有效期自工程开工至全部工程完工后经交工验收合格，以及养护期满有发包人发给保修终止证书后失效。</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3、合同履行过程中发生争议时，双方应协商解决，如果协商不成，任何一方可以向工程所在地人民法院提起诉讼。</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4、本合同自双方签字盖章后生效。</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color w:val="auto"/>
          <w:highlight w:val="none"/>
        </w:rPr>
      </w:r>
      <w:r/>
    </w:p>
    <w:tbl>
      <w:tblPr>
        <w:tblStyle w:val="709"/>
        <w:tblW w:w="917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41"/>
        <w:gridCol w:w="4334"/>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1" w:type="dxa"/>
            <w:vAlign w:val="top"/>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发包人：(公章)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4" w:type="dxa"/>
            <w:vAlign w:val="top"/>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承包人: (公章)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1" w:type="dxa"/>
            <w:vAlign w:val="top"/>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法定代表人或其委托代理人：</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4" w:type="dxa"/>
            <w:vAlign w:val="top"/>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法定代表人或其委托代理人：</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841" w:type="dxa"/>
            <w:vAlign w:val="top"/>
            <w:textDirection w:val="lrTb"/>
            <w:noWrap w:val="false"/>
          </w:tcPr>
          <w:p>
            <w:pPr>
              <w:ind w:left="0" w:right="0" w:firstLine="720"/>
              <w:jc w:val="both"/>
              <w:keepLines w:val="0"/>
              <w:keepNext w:val="0"/>
              <w:pageBreakBefore w:val="0"/>
              <w:spacing w:before="210" w:after="16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34" w:type="dxa"/>
            <w:vAlign w:val="top"/>
            <w:textDirection w:val="lrTb"/>
            <w:noWrap w:val="false"/>
          </w:tcPr>
          <w:p>
            <w:pPr>
              <w:ind w:left="0" w:right="0" w:firstLine="720"/>
              <w:jc w:val="both"/>
              <w:keepLines w:val="0"/>
              <w:keepNext w:val="0"/>
              <w:pageBreakBefore w:val="0"/>
              <w:spacing w:before="210" w:after="160" w:line="360" w:lineRule="auto"/>
              <w:widowControl/>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w:t>
            </w:r>
            <w:r/>
          </w:p>
        </w:tc>
      </w:tr>
    </w:tbl>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pPr>
      <w:r>
        <w:rPr>
          <w:color w:val="auto"/>
          <w:highlight w:val="none"/>
        </w:rPr>
        <w:br w:type="page" w:clear="all"/>
      </w:r>
      <w:r/>
    </w:p>
    <w:p>
      <w:pPr>
        <w:spacing w:before="76" w:line="184" w:lineRule="auto"/>
        <w:rPr>
          <w:rFonts w:hint="eastAsia" w:ascii="宋体" w:hAnsi="宋体" w:eastAsia="宋体" w:cs="宋体"/>
          <w:b/>
          <w:bCs/>
          <w:color w:val="auto"/>
          <w:sz w:val="24"/>
          <w:szCs w:val="24"/>
          <w:highlight w:val="none"/>
          <w:lang w:val="en-US" w:eastAsia="zh-CN"/>
        </w:rPr>
        <w:outlineLvl w:val="1"/>
      </w:pPr>
      <w:r>
        <w:rPr>
          <w:rFonts w:hint="eastAsia" w:ascii="宋体" w:hAnsi="宋体" w:cs="宋体"/>
          <w:b/>
          <w:bCs/>
          <w:color w:val="auto"/>
          <w:sz w:val="24"/>
          <w:szCs w:val="24"/>
          <w:highlight w:val="none"/>
        </w:rPr>
        <w:t xml:space="preserve">合同附件</w:t>
      </w:r>
      <w:r>
        <w:rPr>
          <w:rFonts w:hint="eastAsia" w:ascii="宋体" w:hAnsi="宋体" w:eastAsia="宋体" w:cs="宋体"/>
          <w:b/>
          <w:bCs/>
          <w:color w:val="auto"/>
          <w:sz w:val="24"/>
          <w:szCs w:val="24"/>
          <w:highlight w:val="none"/>
          <w:lang w:val="en-US" w:eastAsia="zh-CN"/>
        </w:rPr>
        <w:t xml:space="preserve">3：</w:t>
      </w:r>
      <w:r/>
    </w:p>
    <w:p>
      <w:pPr>
        <w:jc w:val="center"/>
        <w:spacing w:before="76" w:line="184"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pacing w:val="19"/>
          <w:sz w:val="24"/>
          <w:szCs w:val="24"/>
          <w:highlight w:val="none"/>
        </w:rPr>
        <w:t xml:space="preserve">政府采购履约验收书(工程类)</w:t>
      </w:r>
      <w:r/>
    </w:p>
    <w:tbl>
      <w:tblPr>
        <w:tblStyle w:val="858"/>
        <w:tblW w:w="936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9"/>
        <w:gridCol w:w="1297"/>
        <w:gridCol w:w="1206"/>
        <w:gridCol w:w="934"/>
        <w:gridCol w:w="378"/>
        <w:gridCol w:w="1399"/>
        <w:gridCol w:w="1425"/>
        <w:gridCol w:w="1533"/>
      </w:tblGrid>
      <w:tr>
        <w:trPr>
          <w:trHeight w:val="637"/>
        </w:trPr>
        <w:tc>
          <w:tcPr>
            <w:tcW w:w="1189" w:type="dxa"/>
            <w:vAlign w:val="top"/>
            <w:textDirection w:val="lrTb"/>
            <w:noWrap w:val="false"/>
          </w:tcPr>
          <w:p>
            <w:pPr>
              <w:jc w:val="left"/>
              <w:spacing w:before="297" w:line="207"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采购人</w:t>
            </w:r>
            <w:r/>
          </w:p>
        </w:tc>
        <w:tc>
          <w:tcPr>
            <w:tcW w:w="1297" w:type="dxa"/>
            <w:vAlign w:val="top"/>
            <w:textDirection w:val="lrTb"/>
            <w:noWrap w:val="false"/>
          </w:tcPr>
          <w:p>
            <w:pPr>
              <w:pStyle w:val="859"/>
              <w:rPr>
                <w:color w:val="auto"/>
                <w:sz w:val="24"/>
                <w:szCs w:val="24"/>
                <w:highlight w:val="none"/>
              </w:rPr>
            </w:pPr>
            <w:r>
              <w:rPr>
                <w:color w:val="auto"/>
                <w:sz w:val="24"/>
                <w:szCs w:val="24"/>
                <w:highlight w:val="none"/>
              </w:rPr>
            </w:r>
            <w:r/>
          </w:p>
        </w:tc>
        <w:tc>
          <w:tcPr>
            <w:tcW w:w="1206" w:type="dxa"/>
            <w:vAlign w:val="top"/>
            <w:textDirection w:val="lrTb"/>
            <w:noWrap w:val="false"/>
          </w:tcPr>
          <w:p>
            <w:pPr>
              <w:spacing w:before="297" w:line="20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项目名称</w:t>
            </w:r>
            <w:r/>
          </w:p>
        </w:tc>
        <w:tc>
          <w:tcPr>
            <w:gridSpan w:val="2"/>
            <w:tcW w:w="1312" w:type="dxa"/>
            <w:vAlign w:val="top"/>
            <w:textDirection w:val="lrTb"/>
            <w:noWrap w:val="false"/>
          </w:tcPr>
          <w:p>
            <w:pPr>
              <w:pStyle w:val="859"/>
              <w:rPr>
                <w:color w:val="auto"/>
                <w:sz w:val="24"/>
                <w:szCs w:val="24"/>
                <w:highlight w:val="none"/>
              </w:rPr>
            </w:pPr>
            <w:r>
              <w:rPr>
                <w:color w:val="auto"/>
                <w:sz w:val="24"/>
                <w:szCs w:val="24"/>
                <w:highlight w:val="none"/>
              </w:rPr>
            </w:r>
            <w:r/>
          </w:p>
        </w:tc>
        <w:tc>
          <w:tcPr>
            <w:tcW w:w="1399" w:type="dxa"/>
            <w:vAlign w:val="top"/>
            <w:textDirection w:val="lrTb"/>
            <w:noWrap w:val="false"/>
          </w:tcPr>
          <w:p>
            <w:pPr>
              <w:spacing w:before="297" w:line="207"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合同名称</w:t>
            </w:r>
            <w:r/>
          </w:p>
        </w:tc>
        <w:tc>
          <w:tcPr>
            <w:gridSpan w:val="2"/>
            <w:tcW w:w="2958" w:type="dxa"/>
            <w:vAlign w:val="top"/>
            <w:textDirection w:val="lrTb"/>
            <w:noWrap w:val="false"/>
          </w:tcPr>
          <w:p>
            <w:pPr>
              <w:pStyle w:val="859"/>
              <w:rPr>
                <w:color w:val="auto"/>
                <w:sz w:val="24"/>
                <w:szCs w:val="24"/>
                <w:highlight w:val="none"/>
              </w:rPr>
            </w:pPr>
            <w:r>
              <w:rPr>
                <w:color w:val="auto"/>
                <w:sz w:val="24"/>
                <w:szCs w:val="24"/>
                <w:highlight w:val="none"/>
              </w:rPr>
            </w:r>
            <w:r/>
          </w:p>
        </w:tc>
      </w:tr>
      <w:tr>
        <w:trPr>
          <w:trHeight w:val="928"/>
        </w:trPr>
        <w:tc>
          <w:tcPr>
            <w:tcW w:w="1189" w:type="dxa"/>
            <w:vAlign w:val="top"/>
            <w:textDirection w:val="lrTb"/>
            <w:noWrap w:val="false"/>
          </w:tcPr>
          <w:p>
            <w:pPr>
              <w:jc w:val="left"/>
              <w:spacing w:before="297" w:line="207"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供应商</w:t>
            </w:r>
            <w:r/>
          </w:p>
        </w:tc>
        <w:tc>
          <w:tcPr>
            <w:tcW w:w="1297" w:type="dxa"/>
            <w:vAlign w:val="top"/>
            <w:textDirection w:val="lrTb"/>
            <w:noWrap w:val="false"/>
          </w:tcPr>
          <w:p>
            <w:pPr>
              <w:pStyle w:val="859"/>
              <w:rPr>
                <w:color w:val="auto"/>
                <w:sz w:val="24"/>
                <w:szCs w:val="24"/>
                <w:highlight w:val="none"/>
              </w:rPr>
            </w:pPr>
            <w:r>
              <w:rPr>
                <w:color w:val="auto"/>
                <w:sz w:val="24"/>
                <w:szCs w:val="24"/>
                <w:highlight w:val="none"/>
              </w:rPr>
            </w:r>
            <w:r/>
          </w:p>
        </w:tc>
        <w:tc>
          <w:tcPr>
            <w:tcW w:w="1206" w:type="dxa"/>
            <w:vAlign w:val="top"/>
            <w:textDirection w:val="lrTb"/>
            <w:noWrap w:val="false"/>
          </w:tcPr>
          <w:p>
            <w:pPr>
              <w:spacing w:before="297" w:line="207"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项目及合同编号</w:t>
            </w:r>
            <w:r/>
          </w:p>
        </w:tc>
        <w:tc>
          <w:tcPr>
            <w:gridSpan w:val="2"/>
            <w:tcW w:w="1312" w:type="dxa"/>
            <w:vAlign w:val="top"/>
            <w:textDirection w:val="lrTb"/>
            <w:noWrap w:val="false"/>
          </w:tcPr>
          <w:p>
            <w:pPr>
              <w:pStyle w:val="859"/>
              <w:rPr>
                <w:color w:val="auto"/>
                <w:sz w:val="24"/>
                <w:szCs w:val="24"/>
                <w:highlight w:val="none"/>
              </w:rPr>
            </w:pPr>
            <w:r>
              <w:rPr>
                <w:color w:val="auto"/>
                <w:sz w:val="24"/>
                <w:szCs w:val="24"/>
                <w:highlight w:val="none"/>
              </w:rPr>
            </w:r>
            <w:r/>
          </w:p>
        </w:tc>
        <w:tc>
          <w:tcPr>
            <w:tcW w:w="1399" w:type="dxa"/>
            <w:vAlign w:val="top"/>
            <w:textDirection w:val="lrTb"/>
            <w:noWrap w:val="false"/>
          </w:tcPr>
          <w:p>
            <w:pPr>
              <w:spacing w:before="297" w:line="20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合同金额</w:t>
            </w:r>
            <w:r/>
          </w:p>
        </w:tc>
        <w:tc>
          <w:tcPr>
            <w:gridSpan w:val="2"/>
            <w:tcW w:w="2958" w:type="dxa"/>
            <w:vAlign w:val="top"/>
            <w:textDirection w:val="lrTb"/>
            <w:noWrap w:val="false"/>
          </w:tcPr>
          <w:p>
            <w:pPr>
              <w:pStyle w:val="859"/>
              <w:rPr>
                <w:color w:val="auto"/>
                <w:sz w:val="24"/>
                <w:szCs w:val="24"/>
                <w:highlight w:val="none"/>
              </w:rPr>
            </w:pPr>
            <w:r>
              <w:rPr>
                <w:color w:val="auto"/>
                <w:sz w:val="24"/>
                <w:szCs w:val="24"/>
                <w:highlight w:val="none"/>
              </w:rPr>
            </w:r>
            <w:r/>
          </w:p>
        </w:tc>
      </w:tr>
      <w:tr>
        <w:trPr>
          <w:trHeight w:val="833"/>
        </w:trPr>
        <w:tc>
          <w:tcPr>
            <w:tcW w:w="1189" w:type="dxa"/>
            <w:vAlign w:val="top"/>
            <w:textDirection w:val="lrTb"/>
            <w:noWrap w:val="false"/>
          </w:tcPr>
          <w:p>
            <w:pPr>
              <w:jc w:val="left"/>
              <w:spacing w:before="265" w:line="240" w:lineRule="exact"/>
              <w:rPr>
                <w:rFonts w:ascii="宋体" w:hAnsi="宋体" w:eastAsia="宋体" w:cs="宋体"/>
                <w:color w:val="auto"/>
                <w:sz w:val="24"/>
                <w:szCs w:val="24"/>
                <w:highlight w:val="none"/>
              </w:rPr>
            </w:pPr>
            <w:r>
              <w:rPr>
                <w:rFonts w:ascii="宋体" w:hAnsi="宋体" w:eastAsia="宋体" w:cs="宋体"/>
                <w:color w:val="auto"/>
                <w:spacing w:val="-2"/>
                <w:position w:val="1"/>
                <w:sz w:val="24"/>
                <w:szCs w:val="24"/>
                <w:highlight w:val="none"/>
              </w:rPr>
              <w:t xml:space="preserve">分期（段）验收</w:t>
            </w:r>
            <w:r/>
          </w:p>
        </w:tc>
        <w:tc>
          <w:tcPr>
            <w:tcW w:w="1297" w:type="dxa"/>
            <w:vAlign w:val="top"/>
            <w:textDirection w:val="lrTb"/>
            <w:noWrap w:val="false"/>
          </w:tcPr>
          <w:p>
            <w:pPr>
              <w:spacing w:before="265" w:line="240" w:lineRule="exact"/>
              <w:rPr>
                <w:rFonts w:ascii="宋体" w:hAnsi="宋体" w:eastAsia="宋体" w:cs="宋体"/>
                <w:color w:val="auto"/>
                <w:sz w:val="24"/>
                <w:szCs w:val="24"/>
                <w:highlight w:val="none"/>
              </w:rPr>
            </w:pPr>
            <w:r>
              <w:rPr>
                <w:rFonts w:ascii="宋体" w:hAnsi="宋体" w:eastAsia="宋体" w:cs="宋体"/>
                <w:color w:val="auto"/>
                <w:spacing w:val="-6"/>
                <w:position w:val="1"/>
                <w:sz w:val="24"/>
                <w:szCs w:val="24"/>
                <w:highlight w:val="none"/>
              </w:rPr>
              <w:t xml:space="preserve">是□</w:t>
            </w:r>
            <w:r>
              <w:rPr>
                <w:rFonts w:ascii="宋体" w:hAnsi="宋体" w:eastAsia="宋体" w:cs="宋体"/>
                <w:color w:val="auto"/>
                <w:spacing w:val="4"/>
                <w:position w:val="1"/>
                <w:sz w:val="24"/>
                <w:szCs w:val="24"/>
                <w:highlight w:val="none"/>
              </w:rPr>
              <w:t xml:space="preserve">   </w:t>
            </w:r>
            <w:r>
              <w:rPr>
                <w:rFonts w:ascii="宋体" w:hAnsi="宋体" w:eastAsia="宋体" w:cs="宋体"/>
                <w:color w:val="auto"/>
                <w:spacing w:val="-6"/>
                <w:position w:val="1"/>
                <w:sz w:val="24"/>
                <w:szCs w:val="24"/>
                <w:highlight w:val="none"/>
              </w:rPr>
              <w:t xml:space="preserve">否□</w:t>
            </w:r>
            <w:r/>
          </w:p>
        </w:tc>
        <w:tc>
          <w:tcPr>
            <w:tcW w:w="1206" w:type="dxa"/>
            <w:vAlign w:val="top"/>
            <w:textDirection w:val="lrTb"/>
            <w:noWrap w:val="false"/>
          </w:tcPr>
          <w:p>
            <w:pPr>
              <w:spacing w:before="265" w:line="240" w:lineRule="exact"/>
              <w:rPr>
                <w:rFonts w:ascii="宋体" w:hAnsi="宋体" w:eastAsia="宋体" w:cs="宋体"/>
                <w:color w:val="auto"/>
                <w:sz w:val="24"/>
                <w:szCs w:val="24"/>
                <w:highlight w:val="none"/>
              </w:rPr>
            </w:pPr>
            <w:r>
              <w:rPr>
                <w:rFonts w:ascii="宋体" w:hAnsi="宋体" w:eastAsia="宋体" w:cs="宋体"/>
                <w:color w:val="auto"/>
                <w:spacing w:val="-2"/>
                <w:position w:val="1"/>
                <w:sz w:val="24"/>
                <w:szCs w:val="24"/>
                <w:highlight w:val="none"/>
              </w:rPr>
              <w:t xml:space="preserve">分期（段）情况</w:t>
            </w:r>
            <w:r/>
          </w:p>
        </w:tc>
        <w:tc>
          <w:tcPr>
            <w:gridSpan w:val="5"/>
            <w:tcW w:w="5669" w:type="dxa"/>
            <w:vAlign w:val="top"/>
            <w:textDirection w:val="lrTb"/>
            <w:noWrap w:val="false"/>
          </w:tcPr>
          <w:p>
            <w:pPr>
              <w:spacing w:before="265" w:line="240" w:lineRule="exact"/>
              <w:rPr>
                <w:rFonts w:ascii="宋体" w:hAnsi="宋体" w:eastAsia="宋体" w:cs="宋体"/>
                <w:color w:val="auto"/>
                <w:sz w:val="24"/>
                <w:szCs w:val="24"/>
                <w:highlight w:val="none"/>
              </w:rPr>
            </w:pPr>
            <w:r>
              <w:rPr>
                <w:rFonts w:ascii="宋体" w:hAnsi="宋体" w:eastAsia="宋体" w:cs="宋体"/>
                <w:color w:val="auto"/>
                <w:spacing w:val="-1"/>
                <w:position w:val="1"/>
                <w:sz w:val="24"/>
                <w:szCs w:val="24"/>
                <w:highlight w:val="none"/>
              </w:rPr>
              <w:t xml:space="preserve">共分   期（段</w:t>
            </w:r>
            <w:r>
              <w:rPr>
                <w:rFonts w:ascii="宋体" w:hAnsi="宋体" w:eastAsia="宋体" w:cs="宋体"/>
                <w:color w:val="auto"/>
                <w:spacing w:val="6"/>
                <w:position w:val="1"/>
                <w:sz w:val="24"/>
                <w:szCs w:val="24"/>
                <w:highlight w:val="none"/>
              </w:rPr>
              <w:t xml:space="preserve">），</w:t>
            </w:r>
            <w:r>
              <w:rPr>
                <w:rFonts w:ascii="宋体" w:hAnsi="宋体" w:eastAsia="宋体" w:cs="宋体"/>
                <w:color w:val="auto"/>
                <w:spacing w:val="-1"/>
                <w:position w:val="1"/>
                <w:sz w:val="24"/>
                <w:szCs w:val="24"/>
                <w:highlight w:val="none"/>
              </w:rPr>
              <w:t xml:space="preserve">此为第   期（段）验收</w:t>
            </w:r>
            <w:r/>
          </w:p>
        </w:tc>
      </w:tr>
      <w:tr>
        <w:trPr>
          <w:trHeight w:val="682"/>
        </w:trPr>
        <w:tc>
          <w:tcPr>
            <w:tcW w:w="1189" w:type="dxa"/>
            <w:vAlign w:val="center"/>
            <w:textDirection w:val="lrTb"/>
            <w:noWrap w:val="false"/>
          </w:tcPr>
          <w:p>
            <w:pPr>
              <w:jc w:val="left"/>
              <w:spacing w:before="58" w:line="20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验收时间</w:t>
            </w:r>
            <w:r/>
          </w:p>
        </w:tc>
        <w:tc>
          <w:tcPr>
            <w:tcW w:w="1297" w:type="dxa"/>
            <w:vAlign w:val="center"/>
            <w:textDirection w:val="lrTb"/>
            <w:noWrap w:val="false"/>
          </w:tcPr>
          <w:p>
            <w:pPr>
              <w:pStyle w:val="859"/>
              <w:jc w:val="both"/>
              <w:rPr>
                <w:color w:val="auto"/>
                <w:sz w:val="24"/>
                <w:szCs w:val="24"/>
                <w:highlight w:val="none"/>
              </w:rPr>
            </w:pPr>
            <w:r>
              <w:rPr>
                <w:color w:val="auto"/>
                <w:sz w:val="24"/>
                <w:szCs w:val="24"/>
                <w:highlight w:val="none"/>
              </w:rPr>
            </w:r>
            <w:r/>
          </w:p>
        </w:tc>
        <w:tc>
          <w:tcPr>
            <w:tcW w:w="1206" w:type="dxa"/>
            <w:vAlign w:val="center"/>
            <w:textDirection w:val="lrTb"/>
            <w:noWrap w:val="false"/>
          </w:tcPr>
          <w:p>
            <w:pPr>
              <w:jc w:val="both"/>
              <w:spacing w:before="58" w:line="20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验收地点</w:t>
            </w:r>
            <w:r/>
          </w:p>
        </w:tc>
        <w:tc>
          <w:tcPr>
            <w:gridSpan w:val="2"/>
            <w:tcW w:w="1312" w:type="dxa"/>
            <w:vAlign w:val="center"/>
            <w:textDirection w:val="lrTb"/>
            <w:noWrap w:val="false"/>
          </w:tcPr>
          <w:p>
            <w:pPr>
              <w:pStyle w:val="859"/>
              <w:jc w:val="both"/>
              <w:rPr>
                <w:color w:val="auto"/>
                <w:sz w:val="24"/>
                <w:szCs w:val="24"/>
                <w:highlight w:val="none"/>
              </w:rPr>
            </w:pPr>
            <w:r>
              <w:rPr>
                <w:color w:val="auto"/>
                <w:sz w:val="24"/>
                <w:szCs w:val="24"/>
                <w:highlight w:val="none"/>
              </w:rPr>
            </w:r>
            <w:r/>
          </w:p>
        </w:tc>
        <w:tc>
          <w:tcPr>
            <w:tcW w:w="1399" w:type="dxa"/>
            <w:vAlign w:val="center"/>
            <w:textDirection w:val="lrTb"/>
            <w:noWrap w:val="false"/>
          </w:tcPr>
          <w:p>
            <w:pPr>
              <w:jc w:val="center"/>
              <w:spacing w:before="59" w:line="20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验收组织形式</w:t>
            </w:r>
            <w:r/>
          </w:p>
        </w:tc>
        <w:tc>
          <w:tcPr>
            <w:gridSpan w:val="2"/>
            <w:tcW w:w="2958" w:type="dxa"/>
            <w:vAlign w:val="center"/>
            <w:textDirection w:val="lrTb"/>
            <w:noWrap w:val="false"/>
          </w:tcPr>
          <w:p>
            <w:pPr>
              <w:jc w:val="both"/>
              <w:spacing w:line="240" w:lineRule="auto"/>
              <w:rPr>
                <w:color w:val="auto"/>
                <w:sz w:val="24"/>
                <w:szCs w:val="24"/>
                <w:highlight w:val="none"/>
              </w:rPr>
            </w:pPr>
            <w:r>
              <w:rPr>
                <w:rFonts w:ascii="宋体" w:hAnsi="宋体" w:eastAsia="宋体" w:cs="宋体"/>
                <w:color w:val="auto"/>
                <w:spacing w:val="-4"/>
                <w:position w:val="1"/>
                <w:sz w:val="24"/>
                <w:szCs w:val="24"/>
                <w:highlight w:val="none"/>
              </w:rPr>
              <w:t xml:space="preserve">□验收小组验收</w:t>
            </w:r>
            <w:r/>
          </w:p>
          <w:p>
            <w:pPr>
              <w:jc w:val="both"/>
              <w:spacing w:before="59" w:line="238" w:lineRule="exact"/>
              <w:rPr>
                <w:rFonts w:ascii="宋体" w:hAnsi="宋体" w:eastAsia="宋体" w:cs="宋体"/>
                <w:color w:val="auto"/>
                <w:sz w:val="24"/>
                <w:szCs w:val="24"/>
                <w:highlight w:val="none"/>
              </w:rPr>
            </w:pPr>
            <w:r>
              <w:rPr>
                <w:rFonts w:ascii="宋体" w:hAnsi="宋体" w:eastAsia="宋体" w:cs="宋体"/>
                <w:color w:val="auto"/>
                <w:spacing w:val="-3"/>
                <w:position w:val="1"/>
                <w:sz w:val="24"/>
                <w:szCs w:val="24"/>
                <w:highlight w:val="none"/>
              </w:rPr>
              <w:t xml:space="preserve">□采购代理机构验收</w:t>
            </w:r>
            <w:r/>
          </w:p>
        </w:tc>
      </w:tr>
      <w:tr>
        <w:trPr>
          <w:trHeight w:val="715"/>
        </w:trPr>
        <w:tc>
          <w:tcPr>
            <w:tcBorders>
              <w:bottom w:val="none" w:color="000000" w:sz="4" w:space="0"/>
            </w:tcBorders>
            <w:tcW w:w="1189" w:type="dxa"/>
            <w:vAlign w:val="center"/>
            <w:vMerge w:val="restart"/>
            <w:textDirection w:val="lrTb"/>
            <w:noWrap w:val="false"/>
          </w:tcPr>
          <w:p>
            <w:pPr>
              <w:jc w:val="left"/>
              <w:spacing w:line="24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验收内容</w:t>
            </w:r>
            <w:r/>
          </w:p>
        </w:tc>
        <w:tc>
          <w:tcPr>
            <w:tcW w:w="1297" w:type="dxa"/>
            <w:vAlign w:val="center"/>
            <w:textDirection w:val="lrTb"/>
            <w:noWrap w:val="false"/>
          </w:tcPr>
          <w:p>
            <w:pPr>
              <w:jc w:val="both"/>
              <w:spacing w:before="59" w:line="207"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施工内容</w:t>
            </w:r>
            <w:r/>
          </w:p>
        </w:tc>
        <w:tc>
          <w:tcPr>
            <w:tcW w:w="1206" w:type="dxa"/>
            <w:vAlign w:val="center"/>
            <w:textDirection w:val="lrTb"/>
            <w:noWrap w:val="false"/>
          </w:tcPr>
          <w:p>
            <w:pPr>
              <w:jc w:val="both"/>
              <w:spacing w:before="59" w:line="20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施工进度</w:t>
            </w:r>
            <w:r/>
          </w:p>
        </w:tc>
        <w:tc>
          <w:tcPr>
            <w:gridSpan w:val="2"/>
            <w:tcW w:w="1312" w:type="dxa"/>
            <w:vAlign w:val="center"/>
            <w:textDirection w:val="lrTb"/>
            <w:noWrap w:val="false"/>
          </w:tcPr>
          <w:p>
            <w:pPr>
              <w:jc w:val="both"/>
              <w:spacing w:before="59" w:line="207"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施工质量</w:t>
            </w:r>
            <w:r/>
          </w:p>
        </w:tc>
        <w:tc>
          <w:tcPr>
            <w:tcW w:w="1399" w:type="dxa"/>
            <w:vAlign w:val="center"/>
            <w:textDirection w:val="lrTb"/>
            <w:noWrap w:val="false"/>
          </w:tcPr>
          <w:p>
            <w:pPr>
              <w:jc w:val="both"/>
              <w:spacing w:line="240" w:lineRule="auto"/>
              <w:rPr>
                <w:color w:val="auto"/>
                <w:sz w:val="24"/>
                <w:szCs w:val="24"/>
                <w:highlight w:val="none"/>
              </w:rPr>
            </w:pPr>
            <w:r>
              <w:rPr>
                <w:rFonts w:ascii="宋体" w:hAnsi="宋体" w:eastAsia="宋体" w:cs="宋体"/>
                <w:color w:val="auto"/>
                <w:spacing w:val="-2"/>
                <w:sz w:val="24"/>
                <w:szCs w:val="24"/>
                <w:highlight w:val="none"/>
              </w:rPr>
              <w:t xml:space="preserve">施工人员</w:t>
            </w:r>
            <w:r/>
          </w:p>
          <w:p>
            <w:pPr>
              <w:jc w:val="both"/>
              <w:spacing w:before="58" w:line="207"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配备情况</w:t>
            </w:r>
            <w:r/>
          </w:p>
        </w:tc>
        <w:tc>
          <w:tcPr>
            <w:tcW w:w="1425" w:type="dxa"/>
            <w:vAlign w:val="center"/>
            <w:textDirection w:val="lrTb"/>
            <w:noWrap w:val="false"/>
          </w:tcPr>
          <w:p>
            <w:pPr>
              <w:jc w:val="both"/>
              <w:spacing w:line="240" w:lineRule="auto"/>
              <w:rPr>
                <w:color w:val="auto"/>
                <w:sz w:val="24"/>
                <w:szCs w:val="24"/>
                <w:highlight w:val="none"/>
              </w:rPr>
            </w:pPr>
            <w:r>
              <w:rPr>
                <w:rFonts w:ascii="宋体" w:hAnsi="宋体" w:eastAsia="宋体" w:cs="宋体"/>
                <w:color w:val="auto"/>
                <w:spacing w:val="-2"/>
                <w:sz w:val="24"/>
                <w:szCs w:val="24"/>
                <w:highlight w:val="none"/>
              </w:rPr>
              <w:t xml:space="preserve">施工设备</w:t>
            </w:r>
            <w:r/>
          </w:p>
          <w:p>
            <w:pPr>
              <w:jc w:val="both"/>
              <w:spacing w:before="58" w:line="207"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配备情况</w:t>
            </w:r>
            <w:r/>
          </w:p>
        </w:tc>
        <w:tc>
          <w:tcPr>
            <w:tcW w:w="1533" w:type="dxa"/>
            <w:vAlign w:val="center"/>
            <w:textDirection w:val="lrTb"/>
            <w:noWrap w:val="false"/>
          </w:tcPr>
          <w:p>
            <w:pPr>
              <w:jc w:val="center"/>
              <w:spacing w:before="59" w:line="20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安全文明标准</w:t>
            </w:r>
            <w:r/>
          </w:p>
        </w:tc>
      </w:tr>
      <w:tr>
        <w:trPr>
          <w:trHeight w:val="698"/>
        </w:trPr>
        <w:tc>
          <w:tcPr>
            <w:tcBorders>
              <w:top w:val="none" w:color="000000" w:sz="4" w:space="0"/>
            </w:tcBorders>
            <w:tcW w:w="1189" w:type="dxa"/>
            <w:vAlign w:val="top"/>
            <w:vMerge w:val="continue"/>
            <w:textDirection w:val="lrTb"/>
            <w:noWrap w:val="false"/>
          </w:tcPr>
          <w:p>
            <w:pPr>
              <w:pStyle w:val="859"/>
              <w:jc w:val="left"/>
              <w:rPr>
                <w:color w:val="auto"/>
                <w:sz w:val="24"/>
                <w:szCs w:val="24"/>
                <w:highlight w:val="none"/>
              </w:rPr>
            </w:pPr>
            <w:r>
              <w:rPr>
                <w:color w:val="auto"/>
                <w:sz w:val="24"/>
                <w:szCs w:val="24"/>
                <w:highlight w:val="none"/>
              </w:rPr>
            </w:r>
            <w:r/>
          </w:p>
        </w:tc>
        <w:tc>
          <w:tcPr>
            <w:tcW w:w="1297" w:type="dxa"/>
            <w:vAlign w:val="center"/>
            <w:textDirection w:val="lrTb"/>
            <w:noWrap w:val="false"/>
          </w:tcPr>
          <w:p>
            <w:pPr>
              <w:jc w:val="both"/>
              <w:spacing w:line="240" w:lineRule="auto"/>
              <w:rPr>
                <w:rFonts w:ascii="宋体" w:hAnsi="宋体" w:eastAsia="宋体" w:cs="宋体"/>
                <w:color w:val="auto"/>
                <w:spacing w:val="-3"/>
                <w:position w:val="1"/>
                <w:sz w:val="24"/>
                <w:szCs w:val="24"/>
                <w:highlight w:val="none"/>
              </w:rPr>
            </w:pPr>
            <w:r>
              <w:rPr>
                <w:rFonts w:ascii="宋体" w:hAnsi="宋体" w:eastAsia="宋体" w:cs="宋体"/>
                <w:color w:val="auto"/>
                <w:spacing w:val="-3"/>
                <w:position w:val="1"/>
                <w:sz w:val="24"/>
                <w:szCs w:val="24"/>
                <w:highlight w:val="none"/>
              </w:rPr>
              <w:t xml:space="preserve">合</w:t>
            </w:r>
            <w:r>
              <w:rPr>
                <w:rFonts w:hint="eastAsia" w:ascii="宋体" w:hAnsi="宋体" w:cs="宋体"/>
                <w:color w:val="auto"/>
                <w:spacing w:val="-3"/>
                <w:position w:val="1"/>
                <w:sz w:val="24"/>
                <w:szCs w:val="24"/>
                <w:highlight w:val="none"/>
                <w:lang w:val="en-US" w:eastAsia="zh-CN"/>
              </w:rPr>
              <w:t xml:space="preserve">  </w:t>
            </w:r>
            <w:r>
              <w:rPr>
                <w:rFonts w:ascii="宋体" w:hAnsi="宋体" w:eastAsia="宋体" w:cs="宋体"/>
                <w:color w:val="auto"/>
                <w:spacing w:val="-3"/>
                <w:position w:val="1"/>
                <w:sz w:val="24"/>
                <w:szCs w:val="24"/>
                <w:highlight w:val="none"/>
              </w:rPr>
              <w:t xml:space="preserve">格□</w:t>
            </w:r>
            <w:r/>
          </w:p>
          <w:p>
            <w:pPr>
              <w:jc w:val="both"/>
              <w:spacing w:line="240" w:lineRule="auto"/>
              <w:rPr>
                <w:rFonts w:ascii="宋体" w:hAnsi="宋体" w:eastAsia="宋体" w:cs="宋体"/>
                <w:color w:val="auto"/>
                <w:sz w:val="24"/>
                <w:szCs w:val="24"/>
                <w:highlight w:val="none"/>
              </w:rPr>
            </w:pPr>
            <w:r>
              <w:rPr>
                <w:rFonts w:ascii="宋体" w:hAnsi="宋体" w:eastAsia="宋体" w:cs="宋体"/>
                <w:color w:val="auto"/>
                <w:spacing w:val="-3"/>
                <w:position w:val="1"/>
                <w:sz w:val="24"/>
                <w:szCs w:val="24"/>
                <w:highlight w:val="none"/>
              </w:rPr>
              <w:t xml:space="preserve">不合格□</w:t>
            </w:r>
            <w:r/>
          </w:p>
        </w:tc>
        <w:tc>
          <w:tcPr>
            <w:tcW w:w="1206" w:type="dxa"/>
            <w:vAlign w:val="center"/>
            <w:textDirection w:val="lrTb"/>
            <w:noWrap w:val="false"/>
          </w:tcPr>
          <w:p>
            <w:pPr>
              <w:jc w:val="both"/>
              <w:spacing w:line="240" w:lineRule="auto"/>
              <w:rPr>
                <w:color w:val="auto"/>
                <w:sz w:val="24"/>
                <w:szCs w:val="24"/>
                <w:highlight w:val="none"/>
              </w:rPr>
            </w:pPr>
            <w:r>
              <w:rPr>
                <w:rFonts w:ascii="宋体" w:hAnsi="宋体" w:eastAsia="宋体" w:cs="宋体"/>
                <w:color w:val="auto"/>
                <w:spacing w:val="-5"/>
                <w:position w:val="1"/>
                <w:sz w:val="24"/>
                <w:szCs w:val="24"/>
                <w:highlight w:val="none"/>
              </w:rPr>
              <w:t xml:space="preserve">合</w:t>
            </w:r>
            <w:r>
              <w:rPr>
                <w:rFonts w:ascii="宋体" w:hAnsi="宋体" w:eastAsia="宋体" w:cs="宋体"/>
                <w:color w:val="auto"/>
                <w:spacing w:val="3"/>
                <w:position w:val="1"/>
                <w:sz w:val="24"/>
                <w:szCs w:val="24"/>
                <w:highlight w:val="none"/>
              </w:rPr>
              <w:t xml:space="preserve">  </w:t>
            </w:r>
            <w:r>
              <w:rPr>
                <w:rFonts w:ascii="宋体" w:hAnsi="宋体" w:eastAsia="宋体" w:cs="宋体"/>
                <w:color w:val="auto"/>
                <w:spacing w:val="-5"/>
                <w:position w:val="1"/>
                <w:sz w:val="24"/>
                <w:szCs w:val="24"/>
                <w:highlight w:val="none"/>
              </w:rPr>
              <w:t xml:space="preserve">格□</w:t>
            </w:r>
            <w:r/>
          </w:p>
          <w:p>
            <w:pPr>
              <w:jc w:val="both"/>
              <w:spacing w:line="240" w:lineRule="auto"/>
              <w:rPr>
                <w:rFonts w:ascii="宋体" w:hAnsi="宋体" w:eastAsia="宋体" w:cs="宋体"/>
                <w:color w:val="auto"/>
                <w:sz w:val="24"/>
                <w:szCs w:val="24"/>
                <w:highlight w:val="none"/>
              </w:rPr>
            </w:pPr>
            <w:r>
              <w:rPr>
                <w:rFonts w:ascii="宋体" w:hAnsi="宋体" w:eastAsia="宋体" w:cs="宋体"/>
                <w:color w:val="auto"/>
                <w:spacing w:val="-3"/>
                <w:position w:val="1"/>
                <w:sz w:val="24"/>
                <w:szCs w:val="24"/>
                <w:highlight w:val="none"/>
              </w:rPr>
              <w:t xml:space="preserve">不合格□</w:t>
            </w:r>
            <w:r/>
          </w:p>
        </w:tc>
        <w:tc>
          <w:tcPr>
            <w:gridSpan w:val="2"/>
            <w:tcW w:w="1312" w:type="dxa"/>
            <w:vAlign w:val="center"/>
            <w:textDirection w:val="lrTb"/>
            <w:noWrap w:val="false"/>
          </w:tcPr>
          <w:p>
            <w:pPr>
              <w:jc w:val="both"/>
              <w:spacing w:line="240" w:lineRule="auto"/>
              <w:rPr>
                <w:color w:val="auto"/>
                <w:sz w:val="24"/>
                <w:szCs w:val="24"/>
                <w:highlight w:val="none"/>
              </w:rPr>
            </w:pPr>
            <w:r>
              <w:rPr>
                <w:rFonts w:ascii="宋体" w:hAnsi="宋体" w:eastAsia="宋体" w:cs="宋体"/>
                <w:color w:val="auto"/>
                <w:spacing w:val="-5"/>
                <w:position w:val="1"/>
                <w:sz w:val="24"/>
                <w:szCs w:val="24"/>
                <w:highlight w:val="none"/>
              </w:rPr>
              <w:t xml:space="preserve">合</w:t>
            </w:r>
            <w:r>
              <w:rPr>
                <w:rFonts w:ascii="宋体" w:hAnsi="宋体" w:eastAsia="宋体" w:cs="宋体"/>
                <w:color w:val="auto"/>
                <w:spacing w:val="3"/>
                <w:position w:val="1"/>
                <w:sz w:val="24"/>
                <w:szCs w:val="24"/>
                <w:highlight w:val="none"/>
              </w:rPr>
              <w:t xml:space="preserve">  </w:t>
            </w:r>
            <w:r>
              <w:rPr>
                <w:rFonts w:ascii="宋体" w:hAnsi="宋体" w:eastAsia="宋体" w:cs="宋体"/>
                <w:color w:val="auto"/>
                <w:spacing w:val="-5"/>
                <w:position w:val="1"/>
                <w:sz w:val="24"/>
                <w:szCs w:val="24"/>
                <w:highlight w:val="none"/>
              </w:rPr>
              <w:t xml:space="preserve">格□</w:t>
            </w:r>
            <w:r/>
          </w:p>
          <w:p>
            <w:pPr>
              <w:jc w:val="both"/>
              <w:spacing w:line="240" w:lineRule="auto"/>
              <w:rPr>
                <w:rFonts w:ascii="宋体" w:hAnsi="宋体" w:eastAsia="宋体" w:cs="宋体"/>
                <w:color w:val="auto"/>
                <w:sz w:val="24"/>
                <w:szCs w:val="24"/>
                <w:highlight w:val="none"/>
              </w:rPr>
            </w:pPr>
            <w:r>
              <w:rPr>
                <w:rFonts w:ascii="宋体" w:hAnsi="宋体" w:eastAsia="宋体" w:cs="宋体"/>
                <w:color w:val="auto"/>
                <w:spacing w:val="-3"/>
                <w:position w:val="1"/>
                <w:sz w:val="24"/>
                <w:szCs w:val="24"/>
                <w:highlight w:val="none"/>
              </w:rPr>
              <w:t xml:space="preserve">不合格□</w:t>
            </w:r>
            <w:r/>
          </w:p>
        </w:tc>
        <w:tc>
          <w:tcPr>
            <w:tcW w:w="1399" w:type="dxa"/>
            <w:vAlign w:val="center"/>
            <w:textDirection w:val="lrTb"/>
            <w:noWrap w:val="false"/>
          </w:tcPr>
          <w:p>
            <w:pPr>
              <w:jc w:val="both"/>
              <w:spacing w:line="240" w:lineRule="auto"/>
              <w:rPr>
                <w:rFonts w:ascii="宋体" w:hAnsi="宋体" w:eastAsia="宋体" w:cs="宋体"/>
                <w:color w:val="auto"/>
                <w:sz w:val="24"/>
                <w:szCs w:val="24"/>
                <w:highlight w:val="none"/>
              </w:rPr>
            </w:pPr>
            <w:r>
              <w:rPr>
                <w:rFonts w:ascii="宋体" w:hAnsi="宋体" w:eastAsia="宋体" w:cs="宋体"/>
                <w:color w:val="auto"/>
                <w:spacing w:val="-5"/>
                <w:position w:val="1"/>
                <w:sz w:val="24"/>
                <w:szCs w:val="24"/>
                <w:highlight w:val="none"/>
              </w:rPr>
              <w:t xml:space="preserve">合</w:t>
            </w:r>
            <w:r>
              <w:rPr>
                <w:rFonts w:ascii="宋体" w:hAnsi="宋体" w:eastAsia="宋体" w:cs="宋体"/>
                <w:color w:val="auto"/>
                <w:spacing w:val="3"/>
                <w:position w:val="1"/>
                <w:sz w:val="24"/>
                <w:szCs w:val="24"/>
                <w:highlight w:val="none"/>
              </w:rPr>
              <w:t xml:space="preserve">  </w:t>
            </w:r>
            <w:r>
              <w:rPr>
                <w:rFonts w:ascii="宋体" w:hAnsi="宋体" w:eastAsia="宋体" w:cs="宋体"/>
                <w:color w:val="auto"/>
                <w:spacing w:val="-5"/>
                <w:position w:val="1"/>
                <w:sz w:val="24"/>
                <w:szCs w:val="24"/>
                <w:highlight w:val="none"/>
              </w:rPr>
              <w:t xml:space="preserve">格□</w:t>
            </w:r>
            <w:r/>
          </w:p>
          <w:p>
            <w:pPr>
              <w:jc w:val="both"/>
              <w:spacing w:before="59" w:line="239" w:lineRule="exact"/>
              <w:rPr>
                <w:rFonts w:ascii="宋体" w:hAnsi="宋体" w:eastAsia="宋体" w:cs="宋体"/>
                <w:color w:val="auto"/>
                <w:sz w:val="24"/>
                <w:szCs w:val="24"/>
                <w:highlight w:val="none"/>
              </w:rPr>
            </w:pPr>
            <w:r>
              <w:rPr>
                <w:rFonts w:ascii="宋体" w:hAnsi="宋体" w:eastAsia="宋体" w:cs="宋体"/>
                <w:color w:val="auto"/>
                <w:spacing w:val="-3"/>
                <w:position w:val="1"/>
                <w:sz w:val="24"/>
                <w:szCs w:val="24"/>
                <w:highlight w:val="none"/>
              </w:rPr>
              <w:t xml:space="preserve">不合格□</w:t>
            </w:r>
            <w:r/>
          </w:p>
        </w:tc>
        <w:tc>
          <w:tcPr>
            <w:tcW w:w="1425" w:type="dxa"/>
            <w:vAlign w:val="center"/>
            <w:textDirection w:val="lrTb"/>
            <w:noWrap w:val="false"/>
          </w:tcPr>
          <w:p>
            <w:pPr>
              <w:jc w:val="both"/>
              <w:spacing w:line="240" w:lineRule="auto"/>
              <w:rPr>
                <w:color w:val="auto"/>
                <w:sz w:val="24"/>
                <w:szCs w:val="24"/>
                <w:highlight w:val="none"/>
              </w:rPr>
            </w:pPr>
            <w:r>
              <w:rPr>
                <w:rFonts w:ascii="宋体" w:hAnsi="宋体" w:eastAsia="宋体" w:cs="宋体"/>
                <w:color w:val="auto"/>
                <w:spacing w:val="-5"/>
                <w:position w:val="1"/>
                <w:sz w:val="24"/>
                <w:szCs w:val="24"/>
                <w:highlight w:val="none"/>
              </w:rPr>
              <w:t xml:space="preserve">合</w:t>
            </w:r>
            <w:r>
              <w:rPr>
                <w:rFonts w:ascii="宋体" w:hAnsi="宋体" w:eastAsia="宋体" w:cs="宋体"/>
                <w:color w:val="auto"/>
                <w:spacing w:val="3"/>
                <w:position w:val="1"/>
                <w:sz w:val="24"/>
                <w:szCs w:val="24"/>
                <w:highlight w:val="none"/>
              </w:rPr>
              <w:t xml:space="preserve">  </w:t>
            </w:r>
            <w:r>
              <w:rPr>
                <w:rFonts w:ascii="宋体" w:hAnsi="宋体" w:eastAsia="宋体" w:cs="宋体"/>
                <w:color w:val="auto"/>
                <w:spacing w:val="-5"/>
                <w:position w:val="1"/>
                <w:sz w:val="24"/>
                <w:szCs w:val="24"/>
                <w:highlight w:val="none"/>
              </w:rPr>
              <w:t xml:space="preserve">格□</w:t>
            </w:r>
            <w:r/>
          </w:p>
          <w:p>
            <w:pPr>
              <w:jc w:val="both"/>
              <w:spacing w:line="240" w:lineRule="auto"/>
              <w:rPr>
                <w:rFonts w:ascii="宋体" w:hAnsi="宋体" w:eastAsia="宋体" w:cs="宋体"/>
                <w:color w:val="auto"/>
                <w:sz w:val="24"/>
                <w:szCs w:val="24"/>
                <w:highlight w:val="none"/>
              </w:rPr>
            </w:pPr>
            <w:r>
              <w:rPr>
                <w:rFonts w:ascii="宋体" w:hAnsi="宋体" w:eastAsia="宋体" w:cs="宋体"/>
                <w:color w:val="auto"/>
                <w:spacing w:val="-3"/>
                <w:position w:val="1"/>
                <w:sz w:val="24"/>
                <w:szCs w:val="24"/>
                <w:highlight w:val="none"/>
              </w:rPr>
              <w:t xml:space="preserve">不合格□</w:t>
            </w:r>
            <w:r/>
          </w:p>
        </w:tc>
        <w:tc>
          <w:tcPr>
            <w:tcW w:w="1533" w:type="dxa"/>
            <w:vAlign w:val="center"/>
            <w:textDirection w:val="lrTb"/>
            <w:noWrap w:val="false"/>
          </w:tcPr>
          <w:p>
            <w:pPr>
              <w:jc w:val="center"/>
              <w:spacing w:line="240" w:lineRule="auto"/>
              <w:rPr>
                <w:color w:val="auto"/>
                <w:sz w:val="24"/>
                <w:szCs w:val="24"/>
                <w:highlight w:val="none"/>
              </w:rPr>
            </w:pPr>
            <w:r>
              <w:rPr>
                <w:rFonts w:ascii="宋体" w:hAnsi="宋体" w:eastAsia="宋体" w:cs="宋体"/>
                <w:color w:val="auto"/>
                <w:spacing w:val="-5"/>
                <w:position w:val="1"/>
                <w:sz w:val="24"/>
                <w:szCs w:val="24"/>
                <w:highlight w:val="none"/>
              </w:rPr>
              <w:t xml:space="preserve">合</w:t>
            </w:r>
            <w:r>
              <w:rPr>
                <w:rFonts w:ascii="宋体" w:hAnsi="宋体" w:eastAsia="宋体" w:cs="宋体"/>
                <w:color w:val="auto"/>
                <w:spacing w:val="3"/>
                <w:position w:val="1"/>
                <w:sz w:val="24"/>
                <w:szCs w:val="24"/>
                <w:highlight w:val="none"/>
              </w:rPr>
              <w:t xml:space="preserve">  </w:t>
            </w:r>
            <w:r>
              <w:rPr>
                <w:rFonts w:ascii="宋体" w:hAnsi="宋体" w:eastAsia="宋体" w:cs="宋体"/>
                <w:color w:val="auto"/>
                <w:spacing w:val="-5"/>
                <w:position w:val="1"/>
                <w:sz w:val="24"/>
                <w:szCs w:val="24"/>
                <w:highlight w:val="none"/>
              </w:rPr>
              <w:t xml:space="preserve">格□</w:t>
            </w:r>
            <w:r/>
          </w:p>
          <w:p>
            <w:pPr>
              <w:jc w:val="center"/>
              <w:spacing w:before="59" w:line="239" w:lineRule="exact"/>
              <w:rPr>
                <w:rFonts w:ascii="宋体" w:hAnsi="宋体" w:eastAsia="宋体" w:cs="宋体"/>
                <w:color w:val="auto"/>
                <w:sz w:val="24"/>
                <w:szCs w:val="24"/>
                <w:highlight w:val="none"/>
              </w:rPr>
            </w:pPr>
            <w:r>
              <w:rPr>
                <w:rFonts w:ascii="宋体" w:hAnsi="宋体" w:eastAsia="宋体" w:cs="宋体"/>
                <w:color w:val="auto"/>
                <w:spacing w:val="-3"/>
                <w:position w:val="1"/>
                <w:sz w:val="24"/>
                <w:szCs w:val="24"/>
                <w:highlight w:val="none"/>
              </w:rPr>
              <w:t xml:space="preserve">不合格□</w:t>
            </w:r>
            <w:r/>
          </w:p>
        </w:tc>
      </w:tr>
      <w:tr>
        <w:trPr>
          <w:trHeight w:val="1054"/>
        </w:trPr>
        <w:tc>
          <w:tcPr>
            <w:tcW w:w="1189" w:type="dxa"/>
            <w:vAlign w:val="center"/>
            <w:textDirection w:val="lrTb"/>
            <w:noWrap w:val="false"/>
          </w:tcPr>
          <w:p>
            <w:pPr>
              <w:jc w:val="left"/>
              <w:spacing w:line="240" w:lineRule="auto"/>
              <w:rPr>
                <w:color w:val="auto"/>
                <w:sz w:val="24"/>
                <w:szCs w:val="24"/>
                <w:highlight w:val="none"/>
              </w:rPr>
            </w:pPr>
            <w:r>
              <w:rPr>
                <w:rFonts w:ascii="宋体" w:hAnsi="宋体" w:eastAsia="宋体" w:cs="宋体"/>
                <w:color w:val="auto"/>
                <w:spacing w:val="-2"/>
                <w:sz w:val="24"/>
                <w:szCs w:val="24"/>
                <w:highlight w:val="none"/>
              </w:rPr>
              <w:t xml:space="preserve">采购代理机构</w:t>
            </w:r>
            <w:r/>
          </w:p>
          <w:p>
            <w:pPr>
              <w:jc w:val="left"/>
              <w:spacing w:before="59" w:line="207"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情况说明</w:t>
            </w:r>
            <w:r/>
          </w:p>
        </w:tc>
        <w:tc>
          <w:tcPr>
            <w:gridSpan w:val="7"/>
            <w:tcW w:w="8172" w:type="dxa"/>
            <w:vAlign w:val="center"/>
            <w:textDirection w:val="lrTb"/>
            <w:noWrap w:val="false"/>
          </w:tcPr>
          <w:p>
            <w:pPr>
              <w:ind w:left="0"/>
              <w:jc w:val="center"/>
              <w:spacing w:line="240" w:lineRule="auto"/>
              <w:rPr>
                <w:rFonts w:ascii="宋体" w:hAnsi="宋体" w:eastAsia="宋体" w:cs="宋体"/>
                <w:color w:val="auto"/>
                <w:sz w:val="24"/>
                <w:szCs w:val="24"/>
                <w:highlight w:val="none"/>
              </w:rPr>
            </w:pPr>
            <w:r>
              <w:rPr>
                <w:rFonts w:ascii="宋体" w:hAnsi="宋体" w:eastAsia="宋体" w:cs="宋体"/>
                <w:color w:val="auto"/>
                <w:spacing w:val="-1"/>
                <w:position w:val="1"/>
                <w:sz w:val="24"/>
                <w:szCs w:val="24"/>
                <w:highlight w:val="none"/>
              </w:rPr>
              <w:t xml:space="preserve">（设计、监理等机构可根据实际情况，出具相关意见）</w:t>
            </w:r>
            <w:r/>
          </w:p>
        </w:tc>
      </w:tr>
      <w:tr>
        <w:trPr>
          <w:trHeight w:val="731"/>
        </w:trPr>
        <w:tc>
          <w:tcPr>
            <w:tcW w:w="1189" w:type="dxa"/>
            <w:vAlign w:val="center"/>
            <w:textDirection w:val="lrTb"/>
            <w:noWrap w:val="false"/>
          </w:tcPr>
          <w:p>
            <w:pPr>
              <w:jc w:val="left"/>
              <w:spacing w:before="58" w:line="207"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存在问题和</w:t>
            </w:r>
            <w:r/>
          </w:p>
          <w:p>
            <w:pPr>
              <w:jc w:val="left"/>
              <w:spacing w:before="58" w:line="207"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改进意见</w:t>
            </w:r>
            <w:r/>
          </w:p>
        </w:tc>
        <w:tc>
          <w:tcPr>
            <w:gridSpan w:val="7"/>
            <w:tcW w:w="8172" w:type="dxa"/>
            <w:vAlign w:val="top"/>
            <w:textDirection w:val="lrTb"/>
            <w:noWrap w:val="false"/>
          </w:tcPr>
          <w:p>
            <w:pPr>
              <w:pStyle w:val="859"/>
              <w:rPr>
                <w:color w:val="auto"/>
                <w:sz w:val="24"/>
                <w:szCs w:val="24"/>
                <w:highlight w:val="none"/>
              </w:rPr>
            </w:pPr>
            <w:r>
              <w:rPr>
                <w:color w:val="auto"/>
                <w:sz w:val="24"/>
                <w:szCs w:val="24"/>
                <w:highlight w:val="none"/>
              </w:rPr>
            </w:r>
            <w:r/>
          </w:p>
        </w:tc>
      </w:tr>
      <w:tr>
        <w:trPr>
          <w:trHeight w:val="576"/>
        </w:trPr>
        <w:tc>
          <w:tcPr>
            <w:tcW w:w="1189" w:type="dxa"/>
            <w:vAlign w:val="center"/>
            <w:textDirection w:val="lrTb"/>
            <w:noWrap w:val="false"/>
          </w:tcPr>
          <w:p>
            <w:pPr>
              <w:jc w:val="left"/>
              <w:spacing w:before="59" w:line="207"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最终结论</w:t>
            </w:r>
            <w:r/>
          </w:p>
        </w:tc>
        <w:tc>
          <w:tcPr>
            <w:gridSpan w:val="7"/>
            <w:tcW w:w="8172" w:type="dxa"/>
            <w:vAlign w:val="top"/>
            <w:textDirection w:val="lrTb"/>
            <w:noWrap w:val="false"/>
          </w:tcPr>
          <w:p>
            <w:pPr>
              <w:spacing w:before="270" w:line="239" w:lineRule="exact"/>
              <w:rPr>
                <w:rFonts w:ascii="宋体" w:hAnsi="宋体" w:eastAsia="宋体" w:cs="宋体"/>
                <w:color w:val="auto"/>
                <w:sz w:val="24"/>
                <w:szCs w:val="24"/>
                <w:highlight w:val="none"/>
              </w:rPr>
            </w:pPr>
            <w:r>
              <w:rPr>
                <w:rFonts w:ascii="宋体" w:hAnsi="宋体" w:eastAsia="宋体" w:cs="宋体"/>
                <w:color w:val="auto"/>
                <w:spacing w:val="-2"/>
                <w:position w:val="1"/>
                <w:sz w:val="24"/>
                <w:szCs w:val="24"/>
                <w:highlight w:val="none"/>
              </w:rPr>
              <w:t xml:space="preserve">合  格□</w:t>
            </w:r>
            <w:r>
              <w:rPr>
                <w:rFonts w:ascii="宋体" w:hAnsi="宋体" w:eastAsia="宋体" w:cs="宋体"/>
                <w:color w:val="auto"/>
                <w:position w:val="1"/>
                <w:sz w:val="24"/>
                <w:szCs w:val="24"/>
                <w:highlight w:val="none"/>
              </w:rPr>
              <w:t xml:space="preserve">                              </w:t>
            </w:r>
            <w:r>
              <w:rPr>
                <w:rFonts w:ascii="宋体" w:hAnsi="宋体" w:eastAsia="宋体" w:cs="宋体"/>
                <w:color w:val="auto"/>
                <w:spacing w:val="-2"/>
                <w:position w:val="1"/>
                <w:sz w:val="24"/>
                <w:szCs w:val="24"/>
                <w:highlight w:val="none"/>
              </w:rPr>
              <w:t xml:space="preserve">不合格□</w:t>
            </w:r>
            <w:r/>
          </w:p>
        </w:tc>
      </w:tr>
      <w:tr>
        <w:trPr>
          <w:trHeight w:val="932"/>
        </w:trPr>
        <w:tc>
          <w:tcPr>
            <w:tcW w:w="1189" w:type="dxa"/>
            <w:vAlign w:val="top"/>
            <w:textDirection w:val="lrTb"/>
            <w:noWrap w:val="false"/>
          </w:tcPr>
          <w:p>
            <w:pPr>
              <w:jc w:val="left"/>
              <w:spacing w:before="298" w:line="20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验收小组成员签字</w:t>
            </w:r>
            <w:r/>
          </w:p>
        </w:tc>
        <w:tc>
          <w:tcPr>
            <w:gridSpan w:val="7"/>
            <w:tcW w:w="8172" w:type="dxa"/>
            <w:vAlign w:val="top"/>
            <w:textDirection w:val="lrTb"/>
            <w:noWrap w:val="false"/>
          </w:tcPr>
          <w:p>
            <w:pPr>
              <w:pStyle w:val="859"/>
              <w:rPr>
                <w:color w:val="auto"/>
                <w:sz w:val="24"/>
                <w:szCs w:val="24"/>
                <w:highlight w:val="none"/>
              </w:rPr>
            </w:pPr>
            <w:r>
              <w:rPr>
                <w:color w:val="auto"/>
                <w:sz w:val="24"/>
                <w:szCs w:val="24"/>
                <w:highlight w:val="none"/>
              </w:rPr>
            </w:r>
            <w:r/>
          </w:p>
        </w:tc>
      </w:tr>
      <w:tr>
        <w:trPr>
          <w:trHeight w:val="867" w:hRule="exact"/>
        </w:trPr>
        <w:tc>
          <w:tcPr>
            <w:gridSpan w:val="4"/>
            <w:tcW w:w="4626" w:type="dxa"/>
            <w:vAlign w:val="center"/>
            <w:textDirection w:val="lrTb"/>
            <w:noWrap w:val="false"/>
          </w:tcPr>
          <w:p>
            <w:pPr>
              <w:jc w:val="center"/>
              <w:spacing w:before="295" w:line="20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采购代理机构意见</w:t>
            </w:r>
            <w:r/>
          </w:p>
          <w:p>
            <w:pPr>
              <w:ind w:left="0"/>
              <w:jc w:val="center"/>
              <w:spacing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4"/>
            <w:tcW w:w="4735" w:type="dxa"/>
            <w:vAlign w:val="center"/>
            <w:textDirection w:val="lrTb"/>
            <w:noWrap w:val="false"/>
          </w:tcPr>
          <w:p>
            <w:pPr>
              <w:ind w:left="0"/>
              <w:jc w:val="center"/>
              <w:spacing w:line="240"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 xml:space="preserve">采购人意见</w:t>
            </w:r>
            <w:r/>
          </w:p>
        </w:tc>
      </w:tr>
      <w:tr>
        <w:trPr>
          <w:trHeight w:val="1565"/>
        </w:trPr>
        <w:tc>
          <w:tcPr>
            <w:gridSpan w:val="4"/>
            <w:tcW w:w="4626" w:type="dxa"/>
            <w:vAlign w:val="top"/>
            <w:textDirection w:val="lrTb"/>
            <w:noWrap w:val="false"/>
          </w:tcPr>
          <w:p>
            <w:pPr>
              <w:pStyle w:val="859"/>
              <w:spacing w:line="254" w:lineRule="auto"/>
              <w:rPr>
                <w:color w:val="auto"/>
                <w:sz w:val="24"/>
                <w:szCs w:val="24"/>
                <w:highlight w:val="none"/>
              </w:rPr>
            </w:pPr>
            <w:r>
              <w:rPr>
                <w:color w:val="auto"/>
                <w:sz w:val="24"/>
                <w:szCs w:val="24"/>
                <w:highlight w:val="none"/>
              </w:rPr>
            </w:r>
            <w:r/>
          </w:p>
          <w:p>
            <w:pPr>
              <w:pStyle w:val="859"/>
              <w:spacing w:line="255" w:lineRule="auto"/>
              <w:rPr>
                <w:color w:val="auto"/>
                <w:sz w:val="24"/>
                <w:szCs w:val="24"/>
                <w:highlight w:val="none"/>
              </w:rPr>
            </w:pPr>
            <w:r>
              <w:rPr>
                <w:color w:val="auto"/>
                <w:sz w:val="24"/>
                <w:szCs w:val="24"/>
                <w:highlight w:val="none"/>
              </w:rPr>
            </w:r>
            <w:r/>
          </w:p>
          <w:p>
            <w:pPr>
              <w:spacing w:before="58" w:line="239" w:lineRule="exact"/>
              <w:rPr>
                <w:rFonts w:ascii="宋体" w:hAnsi="宋体" w:eastAsia="宋体" w:cs="宋体"/>
                <w:color w:val="auto"/>
                <w:sz w:val="24"/>
                <w:szCs w:val="24"/>
                <w:highlight w:val="none"/>
              </w:rPr>
            </w:pPr>
            <w:r>
              <w:rPr>
                <w:rFonts w:ascii="宋体" w:hAnsi="宋体" w:eastAsia="宋体" w:cs="宋体"/>
                <w:color w:val="auto"/>
                <w:spacing w:val="1"/>
                <w:position w:val="1"/>
                <w:sz w:val="24"/>
                <w:szCs w:val="24"/>
                <w:highlight w:val="none"/>
              </w:rPr>
              <w:t xml:space="preserve">经办人：         负责人</w:t>
            </w:r>
            <w:r>
              <w:rPr>
                <w:rFonts w:ascii="宋体" w:hAnsi="宋体" w:eastAsia="宋体" w:cs="宋体"/>
                <w:color w:val="auto"/>
                <w:spacing w:val="-18"/>
                <w:position w:val="1"/>
                <w:sz w:val="24"/>
                <w:szCs w:val="24"/>
                <w:highlight w:val="none"/>
              </w:rPr>
              <w:t xml:space="preserve">：</w:t>
            </w:r>
            <w:r>
              <w:rPr>
                <w:rFonts w:ascii="宋体" w:hAnsi="宋体" w:eastAsia="宋体" w:cs="宋体"/>
                <w:color w:val="auto"/>
                <w:spacing w:val="10"/>
                <w:position w:val="1"/>
                <w:sz w:val="24"/>
                <w:szCs w:val="24"/>
                <w:highlight w:val="none"/>
              </w:rPr>
              <w:t xml:space="preserve">         </w:t>
            </w:r>
            <w:r>
              <w:rPr>
                <w:rFonts w:ascii="宋体" w:hAnsi="宋体" w:eastAsia="宋体" w:cs="宋体"/>
                <w:color w:val="auto"/>
                <w:spacing w:val="-18"/>
                <w:position w:val="1"/>
                <w:sz w:val="24"/>
                <w:szCs w:val="24"/>
                <w:highlight w:val="none"/>
              </w:rPr>
              <w:t xml:space="preserve">（</w:t>
            </w:r>
            <w:r>
              <w:rPr>
                <w:rFonts w:ascii="宋体" w:hAnsi="宋体" w:eastAsia="宋体" w:cs="宋体"/>
                <w:color w:val="auto"/>
                <w:spacing w:val="1"/>
                <w:position w:val="1"/>
                <w:sz w:val="24"/>
                <w:szCs w:val="24"/>
                <w:highlight w:val="none"/>
              </w:rPr>
              <w:t xml:space="preserve">采购代理机构公章）</w:t>
            </w:r>
            <w:r/>
          </w:p>
          <w:p>
            <w:pPr>
              <w:spacing w:before="58" w:line="239"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gridSpan w:val="4"/>
            <w:tcW w:w="4735" w:type="dxa"/>
            <w:vAlign w:val="top"/>
            <w:textDirection w:val="lrTb"/>
            <w:noWrap w:val="false"/>
          </w:tcPr>
          <w:p>
            <w:pPr>
              <w:ind w:left="0"/>
              <w:spacing w:line="240" w:lineRule="auto"/>
              <w:rPr>
                <w:rFonts w:ascii="宋体" w:hAnsi="宋体" w:eastAsia="宋体" w:cs="宋体"/>
                <w:color w:val="auto"/>
                <w:spacing w:val="2"/>
                <w:position w:val="1"/>
                <w:sz w:val="24"/>
                <w:szCs w:val="24"/>
                <w:highlight w:val="none"/>
              </w:rPr>
            </w:pPr>
            <w:r>
              <w:rPr>
                <w:rFonts w:ascii="宋体" w:hAnsi="宋体" w:eastAsia="宋体" w:cs="宋体"/>
                <w:color w:val="auto"/>
                <w:spacing w:val="2"/>
                <w:position w:val="1"/>
                <w:sz w:val="24"/>
                <w:szCs w:val="24"/>
                <w:highlight w:val="none"/>
              </w:rPr>
            </w:r>
            <w:r/>
          </w:p>
          <w:p>
            <w:pPr>
              <w:ind w:left="0"/>
              <w:spacing w:line="240" w:lineRule="auto"/>
              <w:rPr>
                <w:rFonts w:ascii="宋体" w:hAnsi="宋体" w:eastAsia="宋体" w:cs="宋体"/>
                <w:color w:val="auto"/>
                <w:spacing w:val="2"/>
                <w:position w:val="1"/>
                <w:sz w:val="24"/>
                <w:szCs w:val="24"/>
                <w:highlight w:val="none"/>
              </w:rPr>
            </w:pPr>
            <w:r>
              <w:rPr>
                <w:rFonts w:ascii="宋体" w:hAnsi="宋体" w:eastAsia="宋体" w:cs="宋体"/>
                <w:color w:val="auto"/>
                <w:spacing w:val="2"/>
                <w:position w:val="1"/>
                <w:sz w:val="24"/>
                <w:szCs w:val="24"/>
                <w:highlight w:val="none"/>
              </w:rPr>
            </w:r>
            <w:r/>
          </w:p>
          <w:p>
            <w:pPr>
              <w:ind w:left="0"/>
              <w:spacing w:line="240" w:lineRule="auto"/>
              <w:rPr>
                <w:rFonts w:ascii="宋体" w:hAnsi="宋体" w:eastAsia="宋体" w:cs="宋体"/>
                <w:color w:val="auto"/>
                <w:spacing w:val="2"/>
                <w:position w:val="1"/>
                <w:sz w:val="24"/>
                <w:szCs w:val="24"/>
                <w:highlight w:val="none"/>
              </w:rPr>
            </w:pPr>
            <w:r>
              <w:rPr>
                <w:rFonts w:ascii="宋体" w:hAnsi="宋体" w:eastAsia="宋体" w:cs="宋体"/>
                <w:color w:val="auto"/>
                <w:spacing w:val="2"/>
                <w:position w:val="1"/>
                <w:sz w:val="24"/>
                <w:szCs w:val="24"/>
                <w:highlight w:val="none"/>
              </w:rPr>
              <w:t xml:space="preserve">经办人：       负责人</w:t>
            </w:r>
            <w:r>
              <w:rPr>
                <w:rFonts w:ascii="宋体" w:hAnsi="宋体" w:eastAsia="宋体" w:cs="宋体"/>
                <w:color w:val="auto"/>
                <w:spacing w:val="-25"/>
                <w:position w:val="1"/>
                <w:sz w:val="24"/>
                <w:szCs w:val="24"/>
                <w:highlight w:val="none"/>
              </w:rPr>
              <w:t xml:space="preserve">：</w:t>
            </w:r>
            <w:r>
              <w:rPr>
                <w:rFonts w:ascii="宋体" w:hAnsi="宋体" w:eastAsia="宋体" w:cs="宋体"/>
                <w:color w:val="auto"/>
                <w:spacing w:val="6"/>
                <w:position w:val="1"/>
                <w:sz w:val="24"/>
                <w:szCs w:val="24"/>
                <w:highlight w:val="none"/>
              </w:rPr>
              <w:t xml:space="preserve">              </w:t>
            </w:r>
            <w:r>
              <w:rPr>
                <w:rFonts w:ascii="宋体" w:hAnsi="宋体" w:eastAsia="宋体" w:cs="宋体"/>
                <w:color w:val="auto"/>
                <w:spacing w:val="-25"/>
                <w:position w:val="1"/>
                <w:sz w:val="24"/>
                <w:szCs w:val="24"/>
                <w:highlight w:val="none"/>
              </w:rPr>
              <w:t xml:space="preserve">（</w:t>
            </w:r>
            <w:r>
              <w:rPr>
                <w:rFonts w:ascii="宋体" w:hAnsi="宋体" w:eastAsia="宋体" w:cs="宋体"/>
                <w:color w:val="auto"/>
                <w:spacing w:val="2"/>
                <w:position w:val="1"/>
                <w:sz w:val="24"/>
                <w:szCs w:val="24"/>
                <w:highlight w:val="none"/>
              </w:rPr>
              <w:t xml:space="preserve">采购人公章）</w:t>
            </w:r>
            <w:r/>
          </w:p>
        </w:tc>
      </w:tr>
      <w:tr>
        <w:trPr>
          <w:trHeight w:val="2016"/>
        </w:trPr>
        <w:tc>
          <w:tcPr>
            <w:gridSpan w:val="8"/>
            <w:tcW w:w="9361" w:type="dxa"/>
            <w:vAlign w:val="top"/>
            <w:textDirection w:val="lrTb"/>
            <w:noWrap w:val="false"/>
          </w:tcPr>
          <w:p>
            <w:pPr>
              <w:ind w:left="113"/>
              <w:spacing w:before="298" w:line="207"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供应商确认：</w:t>
            </w:r>
            <w:r/>
          </w:p>
          <w:p>
            <w:pPr>
              <w:pStyle w:val="859"/>
              <w:spacing w:line="275" w:lineRule="auto"/>
              <w:rPr>
                <w:color w:val="auto"/>
                <w:sz w:val="24"/>
                <w:szCs w:val="24"/>
                <w:highlight w:val="none"/>
              </w:rPr>
            </w:pPr>
            <w:r>
              <w:rPr>
                <w:color w:val="auto"/>
                <w:sz w:val="24"/>
                <w:szCs w:val="24"/>
                <w:highlight w:val="none"/>
              </w:rPr>
            </w:r>
            <w:r/>
          </w:p>
          <w:p>
            <w:pPr>
              <w:pStyle w:val="859"/>
              <w:spacing w:line="275" w:lineRule="auto"/>
              <w:rPr>
                <w:color w:val="auto"/>
                <w:sz w:val="24"/>
                <w:szCs w:val="24"/>
                <w:highlight w:val="none"/>
              </w:rPr>
            </w:pPr>
            <w:r>
              <w:rPr>
                <w:color w:val="auto"/>
                <w:sz w:val="24"/>
                <w:szCs w:val="24"/>
                <w:highlight w:val="none"/>
              </w:rPr>
            </w:r>
            <w:r/>
          </w:p>
          <w:p>
            <w:pPr>
              <w:pStyle w:val="859"/>
              <w:spacing w:line="275" w:lineRule="auto"/>
              <w:rPr>
                <w:color w:val="auto"/>
                <w:sz w:val="24"/>
                <w:szCs w:val="24"/>
                <w:highlight w:val="none"/>
              </w:rPr>
            </w:pPr>
            <w:r>
              <w:rPr>
                <w:color w:val="auto"/>
                <w:sz w:val="24"/>
                <w:szCs w:val="24"/>
                <w:highlight w:val="none"/>
              </w:rPr>
            </w:r>
            <w:r/>
          </w:p>
          <w:p>
            <w:pPr>
              <w:ind w:left="118"/>
              <w:spacing w:before="58" w:line="239" w:lineRule="exact"/>
              <w:rPr>
                <w:rFonts w:ascii="宋体" w:hAnsi="宋体" w:eastAsia="宋体" w:cs="宋体"/>
                <w:color w:val="auto"/>
                <w:sz w:val="24"/>
                <w:szCs w:val="24"/>
                <w:highlight w:val="none"/>
              </w:rPr>
            </w:pPr>
            <w:r>
              <w:rPr>
                <w:rFonts w:ascii="宋体" w:hAnsi="宋体" w:eastAsia="宋体" w:cs="宋体"/>
                <w:color w:val="auto"/>
                <w:spacing w:val="-1"/>
                <w:position w:val="1"/>
                <w:sz w:val="24"/>
                <w:szCs w:val="24"/>
                <w:highlight w:val="none"/>
              </w:rPr>
              <w:t xml:space="preserve">（单位公章或授权代表签字）</w:t>
            </w:r>
            <w:r/>
          </w:p>
        </w:tc>
      </w:tr>
    </w:tbl>
    <w:p>
      <w:pPr>
        <w:tabs>
          <w:tab w:val="left" w:pos="221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说明：1.该表为工程类项目履约验收的参考样表，采购人或采购代理机构可以根据工作实际进行调整。</w:t>
      </w:r>
      <w:r/>
    </w:p>
    <w:p>
      <w:pPr>
        <w:ind w:firstLine="720"/>
        <w:tabs>
          <w:tab w:val="left" w:pos="2216" w:leader="none"/>
        </w:tabs>
        <w:rPr>
          <w:rFonts w:hint="eastAsia" w:eastAsia="宋体"/>
          <w:color w:val="auto"/>
          <w:highlight w:val="none"/>
          <w:lang w:val="en-US" w:eastAsia="zh-CN"/>
        </w:rPr>
        <w:sectPr>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宋体"/>
          <w:color w:val="auto"/>
          <w:sz w:val="24"/>
          <w:szCs w:val="24"/>
          <w:highlight w:val="none"/>
          <w:lang w:eastAsia="zh-CN"/>
        </w:rPr>
        <w:t xml:space="preserve">2.未委托采购代理机构开展履约验收工作的，无需填写“采购代理机构意见”。</w:t>
      </w:r>
      <w:r/>
    </w:p>
    <w:p>
      <w:pPr>
        <w:pStyle w:val="690"/>
        <w:rPr>
          <w:color w:val="auto"/>
          <w:highlight w:val="none"/>
        </w:rPr>
      </w:pPr>
      <w:r>
        <w:rPr>
          <w:color w:val="auto"/>
          <w:highlight w:val="none"/>
        </w:rPr>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3"/>
          <w:highlight w:val="none"/>
        </w:rPr>
        <w:t xml:space="preserve">第六章 磋商响应文件格式</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说明：</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对本章所有的格式，磋商供应商可根据自身情况进行补充和修改，但补充和修改不得造成与本格式内容有实质性的违背。</w:t>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1、（供应商）法定代表人授权委托书</w:t>
      </w:r>
      <w:r/>
    </w:p>
    <w:p>
      <w:pPr>
        <w:ind w:left="0" w:right="0" w:firstLine="0"/>
        <w:jc w:val="both"/>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法定代表人授权委托书</w:t>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60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本授权委托书声明：我</w:t>
      </w:r>
      <w:r>
        <w:rPr>
          <w:rFonts w:ascii="宋体" w:hAnsi="宋体" w:eastAsia="宋体" w:cs="宋体"/>
          <w:color w:val="auto"/>
          <w:sz w:val="24"/>
          <w:highlight w:val="none"/>
          <w:u w:val="single"/>
        </w:rPr>
        <w:t xml:space="preserve">（姓名）</w:t>
      </w:r>
      <w:r>
        <w:rPr>
          <w:rFonts w:ascii="宋体" w:hAnsi="宋体" w:eastAsia="宋体" w:cs="宋体"/>
          <w:color w:val="auto"/>
          <w:sz w:val="24"/>
          <w:highlight w:val="none"/>
        </w:rPr>
        <w:t xml:space="preserve">系</w:t>
      </w:r>
      <w:r>
        <w:rPr>
          <w:rFonts w:ascii="宋体" w:hAnsi="宋体" w:eastAsia="宋体" w:cs="宋体"/>
          <w:color w:val="auto"/>
          <w:sz w:val="24"/>
          <w:highlight w:val="none"/>
          <w:u w:val="single"/>
        </w:rPr>
        <w:t xml:space="preserve">（供应商名称）</w:t>
      </w:r>
      <w:r>
        <w:rPr>
          <w:rFonts w:ascii="宋体" w:hAnsi="宋体" w:eastAsia="宋体" w:cs="宋体"/>
          <w:color w:val="auto"/>
          <w:sz w:val="24"/>
          <w:highlight w:val="none"/>
        </w:rPr>
        <w:t xml:space="preserve">的法定代表人，现授权委托</w:t>
      </w:r>
      <w:r>
        <w:rPr>
          <w:rFonts w:ascii="宋体" w:hAnsi="宋体" w:eastAsia="宋体" w:cs="宋体"/>
          <w:color w:val="auto"/>
          <w:sz w:val="24"/>
          <w:highlight w:val="none"/>
          <w:u w:val="single"/>
        </w:rPr>
        <w:t xml:space="preserve">（单位名称）</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（姓名）</w:t>
      </w:r>
      <w:r>
        <w:rPr>
          <w:rFonts w:ascii="宋体" w:hAnsi="宋体" w:eastAsia="宋体" w:cs="宋体"/>
          <w:color w:val="auto"/>
          <w:sz w:val="24"/>
          <w:highlight w:val="none"/>
        </w:rPr>
        <w:t xml:space="preserve">为我公司代理人，以本公司的名义参加鼎信工程咨询（苏州）有限公司组织实施的编号为</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rPr>
        <w:t xml:space="preserve">号的磋商邀请活动。代理人在磋商活动过程中所签署的一切文件和处理与这有关的一切事务，我均予以承认。</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代理人在授权委托书有效期内签署的所有文件不因授权委托的撤销而失效，除非有撤销授权委托的书面通知，本授权委托书自磋商活动开始至合同履行完毕止。</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代理人无转委托权。特此委托。</w:t>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供应商：（单位盖章）</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法定代表人：（签字或盖章）</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授权委托人：（签字或盖章）</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日期：年　　月　　日</w:t>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2、磋商响应函</w:t>
      </w:r>
      <w:r/>
    </w:p>
    <w:p>
      <w:pPr>
        <w:ind w:left="0" w:right="0" w:firstLine="0"/>
        <w:jc w:val="center"/>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磋商响应函</w:t>
      </w:r>
      <w:r/>
    </w:p>
    <w:p>
      <w:pPr>
        <w:ind w:left="0" w:right="0" w:firstLine="192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我们收到贵公司号磋商邀请函，经仔细阅读和研究，我们决定参加该次磋商活动。</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我们愿意按照磋商采购邀请函的一切要求，提供包括但不限于机械设备、材料、劳务、技术措施、场地清理、有关材料和构件场内外二次搬运费、垃圾的清理外运所有费、总包配合费等全部费用以及响应单位企业利润、税金和政策性文件规定及合同包含的所有风险、责任、代理服务费等各项应有费用。（政策性条款例外）。</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2、如果我们磋商商务被接受，我们将严格履行磋商邀请函中规定的每一项要求，按期、按质、按量履行合同的义务。</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3、我们愿意提供邀请方在磋商邀请函中要求的所有资料。</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4、我们认为你们有权决定成交人者，还认为你们有权接受或拒绝所有的磋商供应商。</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5、我们愿意遵守磋商邀请函中所列的收费标准。</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6、如果我们成交，我们愿意在签订合同时按前附表规定的支付成交服务费；</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7、综合说明：</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（1）伴随服务及配合措施；</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（2）要求采购单位提供的配合；</w:t>
      </w:r>
      <w:r/>
    </w:p>
    <w:p>
      <w:pPr>
        <w:ind w:left="0" w:right="0" w:firstLine="48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（3）其它说明。</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联系人：</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邮政编码：</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联系电话：</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传真：</w:t>
      </w:r>
      <w:r/>
    </w:p>
    <w:p>
      <w:pPr>
        <w:ind w:left="0" w:right="0" w:firstLine="0"/>
        <w:jc w:val="both"/>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供应商：（单位盖章）</w:t>
      </w:r>
      <w:r/>
    </w:p>
    <w:p>
      <w:pPr>
        <w:ind w:left="0" w:right="0" w:firstLine="0"/>
        <w:jc w:val="both"/>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法定代表人或授权委托人：（签字或盖章）</w:t>
      </w:r>
      <w:r/>
    </w:p>
    <w:p>
      <w:pPr>
        <w:ind w:left="0" w:right="0" w:firstLine="0"/>
        <w:jc w:val="both"/>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 年 月 日</w:t>
      </w:r>
      <w:r>
        <w:rPr>
          <w:rFonts w:ascii="宋体" w:hAnsi="宋体" w:eastAsia="宋体" w:cs="宋体"/>
          <w:color w:val="auto"/>
          <w:sz w:val="24"/>
          <w:highlight w:val="none"/>
        </w:rPr>
        <w:br w:type="page" w:clear="all"/>
      </w:r>
      <w:r/>
    </w:p>
    <w:p>
      <w:pPr>
        <w:ind w:left="0" w:right="0" w:firstLine="0"/>
        <w:jc w:val="both"/>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3、磋商报价表</w:t>
      </w:r>
      <w:r/>
    </w:p>
    <w:p>
      <w:pPr>
        <w:ind w:left="0" w:right="0" w:firstLine="0"/>
        <w:jc w:val="center"/>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磋商报价表</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项目编号：单位：元</w:t>
      </w:r>
      <w:r/>
    </w:p>
    <w:tbl>
      <w:tblPr>
        <w:tblStyle w:val="709"/>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2318"/>
        <w:gridCol w:w="3987"/>
        <w:gridCol w:w="1556"/>
      </w:tblGrid>
      <w:tr>
        <w:trPr>
          <w:trHeight w:val="5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工程名称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8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磋商响应报价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备注</w:t>
            </w:r>
            <w:r/>
          </w:p>
        </w:tc>
      </w:tr>
      <w:tr>
        <w:trPr>
          <w:trHeight w:val="5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87"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eastAsia" w:eastAsia="宋体"/>
                <w:color w:val="auto"/>
                <w:highlight w:val="none"/>
                <w:lang w:eastAsia="zh-CN"/>
              </w:rPr>
            </w:r>
            <w:r/>
          </w:p>
        </w:tc>
      </w:tr>
      <w:tr>
        <w:trPr>
          <w:trHeight w:val="5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4"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磋商响应总报价：人民币（大写） </w:t>
            </w:r>
            <w:r/>
          </w:p>
          <w:p>
            <w:pPr>
              <w:ind w:left="0" w:right="0" w:firstLine="264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（小写）￥：</w:t>
            </w:r>
            <w:r/>
          </w:p>
        </w:tc>
      </w:tr>
      <w:tr>
        <w:trPr>
          <w:trHeight w:val="5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4"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工期：</w:t>
            </w:r>
            <w:r/>
          </w:p>
        </w:tc>
      </w:tr>
      <w:tr>
        <w:trPr>
          <w:trHeight w:val="5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4"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工程质量标准：</w:t>
            </w:r>
            <w:r/>
          </w:p>
        </w:tc>
      </w:tr>
      <w:tr>
        <w:trPr>
          <w:trHeight w:val="561"/>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64"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备注：</w:t>
            </w:r>
            <w:r/>
          </w:p>
        </w:tc>
      </w:tr>
    </w:tbl>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注：1、报价明细表自制。</w:t>
      </w:r>
      <w:r/>
    </w:p>
    <w:p>
      <w:pPr>
        <w:ind w:left="0" w:right="0" w:firstLine="9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2、上述报价包含一切由供方承担的费用。</w:t>
      </w:r>
      <w:r/>
    </w:p>
    <w:p>
      <w:pPr>
        <w:ind w:left="0" w:right="0" w:firstLine="505"/>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供应商：（单位盖章）</w:t>
      </w:r>
      <w:r/>
    </w:p>
    <w:p>
      <w:pPr>
        <w:ind w:left="0" w:right="0" w:firstLine="505"/>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法定代表人或代理人：（签字或盖章）</w:t>
      </w:r>
      <w:r/>
    </w:p>
    <w:p>
      <w:pPr>
        <w:ind w:left="0" w:right="0" w:firstLine="505"/>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日期：年月日</w:t>
      </w:r>
      <w:r/>
    </w:p>
    <w:p>
      <w:pPr>
        <w:ind w:left="0" w:right="0" w:firstLine="505"/>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4"/>
          <w:highlight w:val="none"/>
        </w:rPr>
        <w:t xml:space="preserve">联系电话：</w:t>
      </w:r>
      <w:r/>
    </w:p>
    <w:p>
      <w:pPr>
        <w:ind w:left="0" w:right="0" w:firstLine="0"/>
        <w:jc w:val="both"/>
        <w:keepLines w:val="0"/>
        <w:keepNext w:val="0"/>
        <w:pageBreakBefore w:val="0"/>
        <w:spacing w:before="24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42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0" w:after="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24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4、工程量清单报价表，工程量清单在网上系统报名后下载，报价自行制作。</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4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5、施工组织机构人员名单</w:t>
      </w:r>
      <w:r/>
    </w:p>
    <w:p>
      <w:pPr>
        <w:ind w:left="0" w:right="0" w:firstLine="420"/>
        <w:jc w:val="center"/>
        <w:keepLines w:val="0"/>
        <w:keepNext w:val="0"/>
        <w:pageBreakBefore w:val="0"/>
        <w:spacing w:before="24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施工组织机构人员名单</w:t>
      </w:r>
      <w:r/>
    </w:p>
    <w:tbl>
      <w:tblPr>
        <w:tblStyle w:val="709"/>
        <w:tblW w:w="957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1758"/>
        <w:gridCol w:w="1765"/>
        <w:gridCol w:w="1636"/>
        <w:gridCol w:w="1559"/>
        <w:gridCol w:w="184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拟在本项目中</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担任的职务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职称/资格证书号（岗位证号）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身份证号码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主要资历和项目管理经历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联系方式</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6"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4"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bl>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供应商：（单位盖章）</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法定代表人或代理人：（签字或盖章）</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日期：年月日</w:t>
      </w:r>
      <w:r>
        <w:rPr>
          <w:color w:val="auto"/>
          <w:highlight w:val="none"/>
        </w:rPr>
        <w:br w:type="page" w:clear="all"/>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6、项目业绩一览表</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项目业绩一览表</w:t>
      </w:r>
      <w:r/>
    </w:p>
    <w:tbl>
      <w:tblPr>
        <w:tblStyle w:val="709"/>
        <w:tblW w:w="957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63"/>
        <w:gridCol w:w="1497"/>
        <w:gridCol w:w="1575"/>
        <w:gridCol w:w="2188"/>
        <w:gridCol w:w="19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合同金额</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7"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8"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bl>
    <w:p>
      <w:pPr>
        <w:ind w:left="0" w:right="-29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供应商：（单位盖章）</w:t>
      </w:r>
      <w:r/>
    </w:p>
    <w:p>
      <w:pPr>
        <w:ind w:left="0" w:right="-29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法定代表人或被授权人：（签字或盖章）</w:t>
      </w:r>
      <w:r/>
    </w:p>
    <w:p>
      <w:pPr>
        <w:ind w:left="0" w:right="-29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日期：年月日</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7、</w:t>
      </w:r>
      <w:r>
        <w:rPr>
          <w:rFonts w:ascii="宋体" w:hAnsi="宋体" w:eastAsia="宋体" w:cs="宋体"/>
          <w:color w:val="auto"/>
          <w:sz w:val="24"/>
          <w:highlight w:val="none"/>
        </w:rPr>
        <w:t xml:space="preserve">施工方案</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施工方案</w:t>
      </w:r>
      <w:r/>
    </w:p>
    <w:tbl>
      <w:tblPr>
        <w:tblStyle w:val="709"/>
        <w:tblW w:w="9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4"/>
      </w:tblGrid>
      <w:tr>
        <w:trPr>
          <w:trHeight w:val="17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提示：</w:t>
            </w:r>
            <w:r/>
          </w:p>
          <w:p>
            <w:pPr>
              <w:numPr>
                <w:ilvl w:val="0"/>
                <w:numId w:val="2"/>
              </w:numPr>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供应商应针对本次采购项目特点及区域的具体情况编写拟采取的施工方案。</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2、供应商可根据自身情况编写，本页不够可另加页附后。</w:t>
            </w:r>
            <w:r/>
          </w:p>
        </w:tc>
      </w:tr>
      <w:tr>
        <w:trPr>
          <w:trHeight w:val="9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单位名称（盖章）：</w:t>
            </w:r>
            <w:r/>
          </w:p>
        </w:tc>
      </w:tr>
    </w:tbl>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8、有关资格证明文件</w:t>
      </w:r>
      <w:r/>
    </w:p>
    <w:p>
      <w:pPr>
        <w:ind w:left="0" w:right="0" w:firstLine="432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1）关于资格文件的声明函</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关于资格文件的声明函</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w:t>
      </w:r>
      <w:r/>
    </w:p>
    <w:p>
      <w:pPr>
        <w:ind w:left="0" w:right="0" w:firstLine="48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本公司愿就由贵公司组织实施的编号为</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rPr>
        <w:t xml:space="preserve">号的磋商采购活动进行商务磋商。本公司所提交的商务、技术及报价文件中所有关于磋商资格的文件、证明和陈述均是真实的、准确的。若与真实情况不符，本公司愿意承担由此而产生的一切后果。</w:t>
      </w:r>
      <w:r/>
    </w:p>
    <w:p>
      <w:pPr>
        <w:ind w:left="0" w:right="-29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供应商：（单位盖章）</w:t>
      </w:r>
      <w:r/>
    </w:p>
    <w:p>
      <w:pPr>
        <w:ind w:left="0" w:right="-29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法定代表人或被授权人：（签字或盖章）</w:t>
      </w:r>
      <w:r/>
    </w:p>
    <w:p>
      <w:pPr>
        <w:ind w:left="0" w:right="-29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日期：年月日</w:t>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（2）响应单位情况表</w:t>
      </w:r>
      <w:r/>
    </w:p>
    <w:p>
      <w:pPr>
        <w:ind w:left="0" w:right="0" w:firstLine="0"/>
        <w:jc w:val="center"/>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响应单位情况表</w:t>
      </w:r>
      <w:r/>
    </w:p>
    <w:p>
      <w:pPr>
        <w:ind w:left="0" w:right="0" w:firstLine="0"/>
        <w:keepLines w:val="0"/>
        <w:keepNext w:val="0"/>
        <w:pageBreakBefore w:val="0"/>
        <w:spacing w:before="240" w:after="24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单位名称（盖章）</w:t>
      </w:r>
      <w:r/>
    </w:p>
    <w:tbl>
      <w:tblPr>
        <w:tblStyle w:val="709"/>
        <w:tblW w:w="853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98"/>
        <w:gridCol w:w="1702"/>
        <w:gridCol w:w="1477"/>
        <w:gridCol w:w="1438"/>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成立日期</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8" w:type="dxa"/>
            <w:vAlign w:val="top"/>
            <w:textDirection w:val="lrTb"/>
            <w:noWrap w:val="false"/>
          </w:tcPr>
          <w:p>
            <w:pPr>
              <w:ind w:left="0" w:right="0" w:firstLine="0"/>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企业地址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注册资本</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经营范围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职工人数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5"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其中：有中高级以上职称的人数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资产总计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净资产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top"/>
            <w:textDirection w:val="lrTb"/>
            <w:noWrap w:val="false"/>
          </w:tcPr>
          <w:p>
            <w:pPr>
              <w:ind w:left="0" w:right="0" w:firstLine="174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股东权益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销售收入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8" w:type="dxa"/>
            <w:vAlign w:val="top"/>
            <w:textDirection w:val="lrTb"/>
            <w:noWrap w:val="false"/>
          </w:tcPr>
          <w:p>
            <w:pPr>
              <w:ind w:left="0" w:right="0" w:firstLine="0"/>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实现利润</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经营面积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平方米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其中：</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自有面积 平方米</w:t>
            </w:r>
            <w:r/>
          </w:p>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承租面积 平方米</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单位简历及内设机构情况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center"/>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单位优势及特长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近三年来完成或正在履行的重大合同情况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最近2年内在经营过程中受到何种奖励或处分</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最近3年内有无因售假、售劣或是其他原因被消费者投诉或起诉的情况及说明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最近3年内主要负责人有无经济犯罪被司法机关追究的情意及说明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获得技术认证的工程师及简介</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8" w:type="dxa"/>
            <w:vAlign w:val="top"/>
            <w:textDirection w:val="lrTb"/>
            <w:noWrap w:val="false"/>
          </w:tcPr>
          <w:p>
            <w:pPr>
              <w:ind w:left="0" w:right="0" w:firstLine="0"/>
              <w:jc w:val="both"/>
              <w:keepLines w:val="0"/>
              <w:keepNext w:val="0"/>
              <w:pageBreakBefore w:val="0"/>
              <w:spacing w:before="200" w:after="20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其他需要说明的情况</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7" w:type="dxa"/>
            <w:vAlign w:val="top"/>
            <w:textDirection w:val="lrTb"/>
            <w:noWrap w:val="false"/>
          </w:tcPr>
          <w:p>
            <w:pPr>
              <w:ind w:left="0" w:right="0" w:firstLine="0"/>
              <w:jc w:val="both"/>
              <w:keepLines w:val="0"/>
              <w:keepNext w:val="0"/>
              <w:pageBreakBefore w:val="0"/>
              <w:spacing w:before="200" w:after="20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bl>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9、中小企业声明函（格式）</w:t>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中小企业声明函（工程、服务）</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本公司（联合体）郑重声明，根据《政府采购促进中小企业发展管理办法》（财库﹝2020﹞46号）的规定，本公司（联合体）参加</w:t>
      </w:r>
      <w:r>
        <w:rPr>
          <w:rFonts w:ascii="宋体" w:hAnsi="宋体" w:eastAsia="宋体" w:cs="宋体"/>
          <w:color w:val="auto"/>
          <w:sz w:val="24"/>
          <w:highlight w:val="none"/>
          <w:u w:val="single"/>
        </w:rPr>
        <w:t xml:space="preserve">（单位名称）</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（项目名称）</w:t>
      </w:r>
      <w:r>
        <w:rPr>
          <w:rFonts w:ascii="宋体" w:hAnsi="宋体" w:eastAsia="宋体" w:cs="宋体"/>
          <w:color w:val="auto"/>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3"/>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（标的名称）</w:t>
      </w:r>
      <w:r>
        <w:rPr>
          <w:rFonts w:ascii="宋体" w:hAnsi="宋体" w:eastAsia="宋体" w:cs="宋体"/>
          <w:color w:val="auto"/>
          <w:sz w:val="24"/>
          <w:highlight w:val="none"/>
        </w:rPr>
        <w:t xml:space="preserve">，属于</w:t>
      </w:r>
      <w:r>
        <w:rPr>
          <w:rFonts w:ascii="宋体" w:hAnsi="宋体" w:eastAsia="宋体" w:cs="宋体"/>
          <w:color w:val="auto"/>
          <w:sz w:val="24"/>
          <w:highlight w:val="none"/>
          <w:u w:val="single"/>
        </w:rPr>
        <w:t xml:space="preserve">（采购文件中明确的所属行业）</w:t>
      </w:r>
      <w:r>
        <w:rPr>
          <w:rFonts w:ascii="宋体" w:hAnsi="宋体" w:eastAsia="宋体" w:cs="宋体"/>
          <w:color w:val="auto"/>
          <w:sz w:val="24"/>
          <w:highlight w:val="none"/>
        </w:rPr>
        <w:t xml:space="preserve">；承建（承接）企业为</w:t>
      </w:r>
      <w:r>
        <w:rPr>
          <w:rFonts w:ascii="宋体" w:hAnsi="宋体" w:eastAsia="宋体" w:cs="宋体"/>
          <w:color w:val="auto"/>
          <w:sz w:val="24"/>
          <w:highlight w:val="none"/>
          <w:u w:val="single"/>
        </w:rPr>
        <w:t xml:space="preserve">（企业名称）</w:t>
      </w:r>
      <w:r>
        <w:rPr>
          <w:rFonts w:ascii="宋体" w:hAnsi="宋体" w:eastAsia="宋体" w:cs="宋体"/>
          <w:color w:val="auto"/>
          <w:sz w:val="24"/>
          <w:highlight w:val="none"/>
        </w:rPr>
        <w:t xml:space="preserve">，从业人员</w:t>
      </w:r>
      <w:r>
        <w:rPr>
          <w:rFonts w:hint="eastAsia" w:ascii="宋体" w:hAnsi="宋体" w:cs="宋体"/>
          <w:i/>
          <w:iCs/>
          <w:color w:val="auto"/>
          <w:sz w:val="24"/>
          <w:highlight w:val="none"/>
          <w:u w:val="single"/>
          <w:lang w:val="en-US" w:eastAsia="zh-CN"/>
        </w:rPr>
        <w:t xml:space="preserve">   </w:t>
      </w:r>
      <w:r>
        <w:rPr>
          <w:rFonts w:ascii="宋体" w:hAnsi="宋体" w:eastAsia="宋体" w:cs="宋体"/>
          <w:color w:val="auto"/>
          <w:sz w:val="24"/>
          <w:highlight w:val="none"/>
        </w:rPr>
        <w:t xml:space="preserve">人，营业收入为</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rPr>
        <w:t xml:space="preserve">万元，资产总额为</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rPr>
        <w:t xml:space="preserve">万元，属于</w:t>
      </w:r>
      <w:r>
        <w:rPr>
          <w:rFonts w:ascii="宋体" w:hAnsi="宋体" w:eastAsia="宋体" w:cs="宋体"/>
          <w:color w:val="auto"/>
          <w:sz w:val="24"/>
          <w:highlight w:val="none"/>
          <w:u w:val="single"/>
        </w:rPr>
        <w:t xml:space="preserve">（中型企业、小型企业、微型企业）</w:t>
      </w:r>
      <w:r>
        <w:rPr>
          <w:rFonts w:ascii="宋体" w:hAnsi="宋体" w:eastAsia="宋体" w:cs="宋体"/>
          <w:color w:val="auto"/>
          <w:sz w:val="24"/>
          <w:highlight w:val="none"/>
        </w:rPr>
        <w:t xml:space="preserve">； </w:t>
      </w:r>
      <w:r/>
    </w:p>
    <w:p>
      <w:pPr>
        <w:numPr>
          <w:ilvl w:val="0"/>
          <w:numId w:val="3"/>
        </w:numP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single"/>
        </w:rPr>
        <w:t xml:space="preserve">（标的名称）</w:t>
      </w:r>
      <w:r>
        <w:rPr>
          <w:rFonts w:ascii="宋体" w:hAnsi="宋体" w:eastAsia="宋体" w:cs="宋体"/>
          <w:color w:val="auto"/>
          <w:sz w:val="24"/>
          <w:highlight w:val="none"/>
        </w:rPr>
        <w:t xml:space="preserve">，属于</w:t>
      </w:r>
      <w:r>
        <w:rPr>
          <w:rFonts w:ascii="宋体" w:hAnsi="宋体" w:eastAsia="宋体" w:cs="宋体"/>
          <w:color w:val="auto"/>
          <w:sz w:val="24"/>
          <w:highlight w:val="none"/>
          <w:u w:val="single"/>
        </w:rPr>
        <w:t xml:space="preserve">（采购文件中明确的所属行业）</w:t>
      </w:r>
      <w:r>
        <w:rPr>
          <w:rFonts w:ascii="宋体" w:hAnsi="宋体" w:eastAsia="宋体" w:cs="宋体"/>
          <w:color w:val="auto"/>
          <w:sz w:val="24"/>
          <w:highlight w:val="none"/>
        </w:rPr>
        <w:t xml:space="preserve">；承建（承接）企业为</w:t>
      </w:r>
      <w:r>
        <w:rPr>
          <w:rFonts w:ascii="宋体" w:hAnsi="宋体" w:eastAsia="宋体" w:cs="宋体"/>
          <w:color w:val="auto"/>
          <w:sz w:val="24"/>
          <w:highlight w:val="none"/>
          <w:u w:val="single"/>
        </w:rPr>
        <w:t xml:space="preserve">（企业名称）</w:t>
      </w:r>
      <w:r>
        <w:rPr>
          <w:rFonts w:ascii="宋体" w:hAnsi="宋体" w:eastAsia="宋体" w:cs="宋体"/>
          <w:color w:val="auto"/>
          <w:sz w:val="24"/>
          <w:highlight w:val="none"/>
        </w:rPr>
        <w:t xml:space="preserve">，从业人员</w:t>
      </w:r>
      <w:r>
        <w:rPr>
          <w:rFonts w:hint="eastAsia" w:ascii="宋体" w:hAnsi="宋体" w:cs="宋体"/>
          <w:i/>
          <w:iCs/>
          <w:color w:val="auto"/>
          <w:sz w:val="24"/>
          <w:highlight w:val="none"/>
          <w:u w:val="single"/>
          <w:lang w:val="en-US" w:eastAsia="zh-CN"/>
        </w:rPr>
        <w:t xml:space="preserve">   </w:t>
      </w:r>
      <w:r>
        <w:rPr>
          <w:rFonts w:ascii="宋体" w:hAnsi="宋体" w:eastAsia="宋体" w:cs="宋体"/>
          <w:color w:val="auto"/>
          <w:sz w:val="24"/>
          <w:highlight w:val="none"/>
        </w:rPr>
        <w:t xml:space="preserve">人，营业收入为</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rPr>
        <w:t xml:space="preserve">万元，资产总额为</w:t>
      </w:r>
      <w:r>
        <w:rPr>
          <w:rFonts w:hint="eastAsia" w:ascii="宋体" w:hAnsi="宋体" w:cs="宋体"/>
          <w:color w:val="auto"/>
          <w:sz w:val="24"/>
          <w:highlight w:val="none"/>
          <w:u w:val="single"/>
          <w:lang w:val="en-US" w:eastAsia="zh-CN"/>
        </w:rPr>
        <w:t xml:space="preserve">   </w:t>
      </w:r>
      <w:r>
        <w:rPr>
          <w:rFonts w:ascii="宋体" w:hAnsi="宋体" w:eastAsia="宋体" w:cs="宋体"/>
          <w:color w:val="auto"/>
          <w:sz w:val="24"/>
          <w:highlight w:val="none"/>
        </w:rPr>
        <w:t xml:space="preserve">万元，属于</w:t>
      </w:r>
      <w:r>
        <w:rPr>
          <w:rFonts w:ascii="宋体" w:hAnsi="宋体" w:eastAsia="宋体" w:cs="宋体"/>
          <w:color w:val="auto"/>
          <w:sz w:val="24"/>
          <w:highlight w:val="none"/>
          <w:u w:val="single"/>
        </w:rPr>
        <w:t xml:space="preserve">（中型企业、小型企业、微型企业）</w:t>
      </w:r>
      <w:r>
        <w:rPr>
          <w:rFonts w:ascii="宋体" w:hAnsi="宋体" w:eastAsia="宋体" w:cs="宋体"/>
          <w:color w:val="auto"/>
          <w:sz w:val="24"/>
          <w:highlight w:val="none"/>
        </w:rPr>
        <w:t xml:space="preserve">； </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本企业对上述声明内容的真实性负责。如有虚假，将依法承担相应责任。 </w:t>
      </w:r>
      <w:r/>
    </w:p>
    <w:p>
      <w:pPr>
        <w:ind w:left="0" w:right="0" w:firstLine="48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6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企业名称（盖章）： </w:t>
      </w:r>
      <w:r/>
    </w:p>
    <w:p>
      <w:pPr>
        <w:ind w:left="0" w:right="0" w:firstLine="648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 </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注：从业人员、营业收入、资产总额填报上一年度数据，无上一年度数据的新成立企业可不填报。</w:t>
      </w:r>
      <w:r/>
    </w:p>
    <w:p>
      <w:pPr>
        <w:ind w:left="0"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10、投标（响应）保证承诺书（参考格式）</w:t>
      </w:r>
      <w:r/>
    </w:p>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致：</w:t>
      </w:r>
      <w:r>
        <w:rPr>
          <w:rFonts w:ascii="宋体" w:hAnsi="宋体" w:eastAsia="宋体" w:cs="宋体"/>
          <w:color w:val="auto"/>
          <w:sz w:val="24"/>
          <w:highlight w:val="none"/>
          <w:u w:val="single"/>
        </w:rPr>
        <w:t xml:space="preserve">（采购代理机构名称）</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我（单位/本人，以下统称我单位）自愿参加（项目名称和项目编号）的投标（响应）,并做出如下承诺：</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一、除不可抗力外，我单位如果发生以下行为，将在行为发生的10个工作日内，向贵方</w:t>
      </w:r>
      <w:r>
        <w:rPr>
          <w:rFonts w:ascii="宋体" w:hAnsi="宋体" w:eastAsia="宋体" w:cs="宋体"/>
          <w:color w:val="auto"/>
          <w:sz w:val="24"/>
          <w:highlight w:val="none"/>
          <w:u w:val="single"/>
        </w:rPr>
        <w:t xml:space="preserve">（或采购人）</w:t>
      </w:r>
      <w:r>
        <w:rPr>
          <w:rFonts w:ascii="宋体" w:hAnsi="宋体" w:eastAsia="宋体" w:cs="宋体"/>
          <w:color w:val="auto"/>
          <w:sz w:val="24"/>
          <w:highlight w:val="none"/>
        </w:rPr>
        <w:t xml:space="preserve">支付本采购文件公布的预算金额（或最高限价）的2%作为违约赔偿金（数量不确定的单价采购须约定具体金额）。</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1、自投标（响应）截止时间至本项目发布中标（成交）公告为止，撤销投标（响应）；</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2、中标（成交）后不依法与采购人签订合同；</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3、中标（成交）后不按本采购文件规定向采购人提交履约保证金；</w:t>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4、中标（成交）后不按本采购文件规定向贵方缴纳采购代理费。</w:t>
      </w:r>
      <w:r/>
    </w:p>
    <w:p>
      <w:pPr>
        <w:ind w:left="0" w:right="0" w:firstLine="48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二、我单位知晓上述行为的法律后果，承认本承诺书作为贵方</w:t>
      </w:r>
      <w:r>
        <w:rPr>
          <w:rFonts w:ascii="宋体" w:hAnsi="宋体" w:eastAsia="宋体" w:cs="宋体"/>
          <w:color w:val="auto"/>
          <w:sz w:val="24"/>
          <w:highlight w:val="none"/>
          <w:u w:val="single"/>
        </w:rPr>
        <w:t xml:space="preserve">（或采购人）</w:t>
      </w:r>
      <w:r>
        <w:rPr>
          <w:rFonts w:ascii="宋体" w:hAnsi="宋体" w:eastAsia="宋体" w:cs="宋体"/>
          <w:color w:val="auto"/>
          <w:sz w:val="24"/>
          <w:highlight w:val="none"/>
        </w:rPr>
        <w:t xml:space="preserve">要求我单位履行违约赔偿义务的依据作用。</w:t>
      </w:r>
      <w:r/>
    </w:p>
    <w:p>
      <w:pPr>
        <w:ind w:left="0" w:right="0" w:firstLine="482"/>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投标（响应）人：（盖公章）</w:t>
      </w:r>
      <w:r/>
    </w:p>
    <w:p>
      <w:pPr>
        <w:ind w:left="0" w:right="0" w:firstLine="482"/>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ind w:left="0" w:right="0" w:firstLine="482"/>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p>
      <w:pPr>
        <w:ind w:left="0" w:right="0" w:firstLine="482"/>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传真：</w:t>
      </w:r>
      <w:r/>
    </w:p>
    <w:p>
      <w:pPr>
        <w:ind w:left="0" w:right="0" w:firstLine="482"/>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电子邮件： </w:t>
      </w:r>
      <w:r/>
    </w:p>
    <w:p>
      <w:pPr>
        <w:ind w:left="0" w:right="0" w:firstLine="482"/>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邮编：</w:t>
      </w:r>
      <w:r/>
    </w:p>
    <w:p>
      <w:pPr>
        <w:ind w:left="0" w:right="0" w:firstLine="482"/>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法定代表人或委托代理人(签字或签章)：</w:t>
      </w:r>
      <w:r/>
    </w:p>
    <w:p>
      <w:pPr>
        <w:ind w:left="0" w:right="0" w:firstLine="482"/>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11、残疾人福利性单位声明函（格式）</w:t>
      </w:r>
      <w:r/>
    </w:p>
    <w:p>
      <w:pPr>
        <w:ind w:left="0"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48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color w:val="auto"/>
          <w:sz w:val="24"/>
          <w:highlight w:val="none"/>
          <w:u w:val="single"/>
        </w:rPr>
        <w:t xml:space="preserve">___ ___</w:t>
      </w:r>
      <w:r>
        <w:rPr>
          <w:rFonts w:ascii="宋体" w:hAnsi="宋体" w:eastAsia="宋体" w:cs="宋体"/>
          <w:color w:val="auto"/>
          <w:sz w:val="24"/>
          <w:highlight w:val="none"/>
        </w:rPr>
        <w:t xml:space="preserve">单位的___</w:t>
      </w:r>
      <w:r>
        <w:rPr>
          <w:rFonts w:ascii="宋体" w:hAnsi="宋体" w:eastAsia="宋体" w:cs="宋体"/>
          <w:color w:val="auto"/>
          <w:sz w:val="24"/>
          <w:highlight w:val="none"/>
          <w:u w:val="single"/>
        </w:rPr>
        <w:t xml:space="preserve">_ _</w:t>
      </w:r>
      <w:r>
        <w:rPr>
          <w:rFonts w:ascii="宋体" w:hAnsi="宋体" w:eastAsia="宋体" w:cs="宋体"/>
          <w:color w:val="auto"/>
          <w:sz w:val="24"/>
          <w:highlight w:val="none"/>
        </w:rPr>
        <w:t xml:space="preserve">_项目采购活动提供本单位制造的货物（由本单位承担工程/提供服务），或者提供其他残疾人福利性单位制造的货物（不包括使用非残疾人福利性单位注册商标的货物）。</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本单位对上述声明的真实性负责。如有虚假，将依法承担相应责任。</w:t>
      </w:r>
      <w:r/>
    </w:p>
    <w:p>
      <w:pPr>
        <w:ind w:left="0"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单位名称（盖章）：</w:t>
      </w:r>
      <w:r/>
    </w:p>
    <w:p>
      <w:pPr>
        <w:ind w:left="0" w:right="0" w:firstLine="0"/>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 期：</w:t>
      </w:r>
      <w:r/>
    </w:p>
    <w:p>
      <w:pPr>
        <w:ind w:left="0" w:right="0" w:firstLine="0"/>
        <w:jc w:val="both"/>
        <w:keepLines w:val="0"/>
        <w:keepNext w:val="0"/>
        <w:pageBreakBefore w:val="0"/>
        <w:spacing w:before="156" w:after="156"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156" w:after="156"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12、开票信息</w:t>
      </w:r>
      <w:r/>
    </w:p>
    <w:p>
      <w:pPr>
        <w:ind w:left="420" w:right="0" w:firstLine="0"/>
        <w:jc w:val="both"/>
        <w:keepLines w:val="0"/>
        <w:keepNext w:val="0"/>
        <w:pageBreakBefore w:val="0"/>
        <w:spacing w:before="210" w:after="12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开票信息</w:t>
      </w:r>
      <w:r/>
    </w:p>
    <w:tbl>
      <w:tblPr>
        <w:tblStyle w:val="709"/>
        <w:tblW w:w="915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630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税号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9" w:type="dxa"/>
            <w:vAlign w:val="center"/>
            <w:textDirection w:val="lrTb"/>
            <w:noWrap w:val="false"/>
          </w:tcPr>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3" w:type="dxa"/>
            <w:vAlign w:val="center"/>
            <w:textDirection w:val="lrTb"/>
            <w:noWrap w:val="false"/>
          </w:tcPr>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bl>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48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keepLines w:val="0"/>
        <w:keepNext w:val="0"/>
        <w:pageBreakBefore w:val="0"/>
        <w:spacing w:before="240" w:after="24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57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单位名称（盖章）：</w:t>
      </w:r>
      <w:r/>
    </w:p>
    <w:p>
      <w:pPr>
        <w:ind w:left="0" w:right="0" w:firstLine="57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p>
    <w:p>
      <w:pPr>
        <w:ind w:left="0" w:right="0" w:firstLine="0"/>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13、供应商与其他单位存在控股、管理关系情况表</w:t>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3"/>
          <w:sz w:val="24"/>
          <w:highlight w:val="none"/>
        </w:rPr>
        <w:t xml:space="preserve">供应商与其他单位存在控股、管理关系情况表</w:t>
      </w:r>
      <w:r/>
    </w:p>
    <w:tbl>
      <w:tblPr>
        <w:tblStyle w:val="709"/>
        <w:tblW w:w="9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61"/>
        <w:gridCol w:w="4378"/>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7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rPr>
              <w:t xml:space="preserve">与供应商存在控股、管理关系的单位名称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78"/>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控股、管理关系情况说明</w:t>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61"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378" w:type="dxa"/>
            <w:vAlign w:val="top"/>
            <w:textDirection w:val="lrTb"/>
            <w:noWrap w:val="false"/>
          </w:tcPr>
          <w:p>
            <w:pPr>
              <w:ind w:left="0" w:right="0" w:firstLine="48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tc>
      </w:tr>
    </w:tbl>
    <w:p>
      <w:pPr>
        <w:ind w:left="0" w:right="0" w:firstLine="398"/>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1"/>
          <w:sz w:val="24"/>
          <w:highlight w:val="none"/>
        </w:rPr>
        <w:t xml:space="preserve">注：供应商应当按实填写所有与之有控股、管理关系的情况</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57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单位名称（盖章）：</w:t>
      </w:r>
      <w:r/>
    </w:p>
    <w:p>
      <w:pPr>
        <w:ind w:left="0" w:right="0" w:firstLine="5760"/>
        <w:jc w:val="both"/>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p>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10" w:after="160"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（全文完）</w:t>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center"/>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p>
      <w:pPr>
        <w:ind w:left="0" w:right="0" w:firstLine="0"/>
        <w:jc w:val="both"/>
        <w:keepLines w:val="0"/>
        <w:keepNext w:val="0"/>
        <w:pageBreakBefore w:val="0"/>
        <w:spacing w:before="210" w:after="160" w:line="360" w:lineRule="auto"/>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auto"/>
          <w:highlight w:val="none"/>
          <w:lang w:eastAsia="zh-CN"/>
        </w:rPr>
      </w:r>
      <w:r/>
    </w:p>
    <w:sectPr>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第%1条"/>
      <w:lvlJc w:val="left"/>
      <w:pPr>
        <w:ind w:left="900" w:hanging="420"/>
      </w:pPr>
      <w:rPr>
        <w:b/>
      </w:rPr>
    </w:lvl>
    <w:lvl w:ilvl="1">
      <w:start w:val="1"/>
      <w:numFmt w:val="decimal"/>
      <w:isLgl w:val="false"/>
      <w:suff w:val="tab"/>
      <w:lvlText w:val="%2．"/>
      <w:lvlJc w:val="left"/>
      <w:pPr>
        <w:ind w:left="1260" w:hanging="36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uiPriority w:val="0"/>
    <w:qFormat/>
    <w:rPr>
      <w:rFonts w:ascii="Times New Roman" w:hAnsi="Times New Roman" w:eastAsia="宋体" w:cs="Times New Roman"/>
      <w:sz w:val="21"/>
      <w:szCs w:val="22"/>
    </w:rPr>
  </w:style>
  <w:style w:type="paragraph" w:styleId="676">
    <w:name w:val="Heading 1"/>
    <w:next w:val="675"/>
    <w:link w:val="710"/>
    <w:uiPriority w:val="9"/>
    <w:qFormat/>
    <w:pPr>
      <w:keepLines/>
      <w:keepNext/>
      <w:spacing w:before="480" w:after="200"/>
      <w:outlineLvl w:val="0"/>
    </w:pPr>
    <w:rPr>
      <w:rFonts w:ascii="Arial" w:hAnsi="Arial" w:eastAsia="Arial" w:cs="Arial"/>
      <w:sz w:val="40"/>
      <w:szCs w:val="40"/>
    </w:rPr>
  </w:style>
  <w:style w:type="paragraph" w:styleId="677">
    <w:name w:val="Heading 2"/>
    <w:next w:val="675"/>
    <w:link w:val="711"/>
    <w:uiPriority w:val="9"/>
    <w:unhideWhenUsed/>
    <w:qFormat/>
    <w:pPr>
      <w:keepLines/>
      <w:keepNext/>
      <w:spacing w:before="360" w:after="200"/>
      <w:outlineLvl w:val="1"/>
    </w:pPr>
    <w:rPr>
      <w:rFonts w:ascii="Arial" w:hAnsi="Arial" w:eastAsia="Arial" w:cs="Arial"/>
      <w:sz w:val="34"/>
      <w:szCs w:val="22"/>
    </w:rPr>
  </w:style>
  <w:style w:type="paragraph" w:styleId="678">
    <w:name w:val="Heading 3"/>
    <w:basedOn w:val="675"/>
    <w:next w:val="675"/>
    <w:link w:val="712"/>
    <w:uiPriority w:val="9"/>
    <w:unhideWhenUsed/>
    <w:qFormat/>
    <w:pPr>
      <w:keepLines/>
      <w:keepNext/>
      <w:spacing w:before="320" w:after="200"/>
      <w:outlineLvl w:val="2"/>
    </w:pPr>
    <w:rPr>
      <w:rFonts w:ascii="Arial" w:hAnsi="Arial" w:eastAsia="Arial" w:cs="Arial"/>
      <w:sz w:val="30"/>
      <w:szCs w:val="30"/>
    </w:rPr>
  </w:style>
  <w:style w:type="paragraph" w:styleId="679">
    <w:name w:val="Heading 4"/>
    <w:next w:val="675"/>
    <w:link w:val="713"/>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next w:val="675"/>
    <w:link w:val="714"/>
    <w:uiPriority w:val="9"/>
    <w:unhideWhenUsed/>
    <w:qFormat/>
    <w:pPr>
      <w:keepLines/>
      <w:keepNext/>
      <w:spacing w:before="320" w:after="200"/>
      <w:outlineLvl w:val="4"/>
    </w:pPr>
    <w:rPr>
      <w:rFonts w:ascii="Arial" w:hAnsi="Arial" w:eastAsia="Arial" w:cs="Arial"/>
      <w:b/>
      <w:bCs/>
      <w:sz w:val="24"/>
      <w:szCs w:val="24"/>
    </w:rPr>
  </w:style>
  <w:style w:type="paragraph" w:styleId="681">
    <w:name w:val="Heading 6"/>
    <w:next w:val="675"/>
    <w:link w:val="715"/>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next w:val="675"/>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next w:val="675"/>
    <w:link w:val="717"/>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next w:val="675"/>
    <w:link w:val="718"/>
    <w:uiPriority w:val="9"/>
    <w:unhideWhenUsed/>
    <w:qFormat/>
    <w:pPr>
      <w:keepLines/>
      <w:keepNext/>
      <w:spacing w:before="320" w:after="200"/>
      <w:outlineLvl w:val="8"/>
    </w:pPr>
    <w:rPr>
      <w:rFonts w:ascii="Arial" w:hAnsi="Arial" w:eastAsia="Arial" w:cs="Arial"/>
      <w:i/>
      <w:iCs/>
      <w:sz w:val="21"/>
      <w:szCs w:val="21"/>
    </w:rPr>
  </w:style>
  <w:style w:type="character" w:styleId="685" w:default="1">
    <w:name w:val="Default Paragraph Font"/>
    <w:uiPriority w:val="1"/>
    <w:unhideWhenUsed/>
    <w:qFormat/>
  </w:style>
  <w:style w:type="table" w:styleId="686" w:default="1">
    <w:name w:val="Normal Table"/>
    <w:uiPriority w:val="99"/>
    <w:unhideWhenUsed/>
    <w:qFormat/>
    <w:tblPr>
      <w:tblLayout w:type="fixed"/>
      <w:tblCellMar>
        <w:left w:w="108" w:type="dxa"/>
        <w:top w:w="0" w:type="dxa"/>
        <w:right w:w="108" w:type="dxa"/>
        <w:bottom w:w="0" w:type="dxa"/>
      </w:tblCellMar>
    </w:tblPr>
  </w:style>
  <w:style w:type="paragraph" w:styleId="687">
    <w:name w:val="toc 7"/>
    <w:next w:val="675"/>
    <w:uiPriority w:val="39"/>
    <w:unhideWhenUsed/>
    <w:qFormat/>
    <w:pPr>
      <w:ind w:left="1701" w:right="0" w:firstLine="0"/>
      <w:spacing w:after="57"/>
    </w:pPr>
    <w:rPr>
      <w:rFonts w:ascii="Times New Roman" w:hAnsi="Times New Roman" w:eastAsia="宋体" w:cs="Times New Roman"/>
      <w:sz w:val="21"/>
      <w:szCs w:val="22"/>
    </w:rPr>
  </w:style>
  <w:style w:type="paragraph" w:styleId="688">
    <w:name w:val="Normal Indent"/>
    <w:basedOn w:val="675"/>
    <w:next w:val="675"/>
    <w:uiPriority w:val="0"/>
    <w:qFormat/>
    <w:pPr>
      <w:ind w:firstLine="420"/>
      <w:jc w:val="left"/>
    </w:pPr>
    <w:rPr>
      <w:rFonts w:eastAsia="楷体_GB2312"/>
      <w:sz w:val="24"/>
      <w:szCs w:val="20"/>
    </w:rPr>
  </w:style>
  <w:style w:type="paragraph" w:styleId="689">
    <w:name w:val="Caption"/>
    <w:next w:val="675"/>
    <w:uiPriority w:val="35"/>
    <w:unhideWhenUsed/>
    <w:qFormat/>
    <w:pPr>
      <w:spacing w:line="276" w:lineRule="auto"/>
    </w:pPr>
    <w:rPr>
      <w:rFonts w:ascii="Times New Roman" w:hAnsi="Times New Roman" w:eastAsia="宋体" w:cs="Times New Roman"/>
      <w:b/>
      <w:bCs/>
      <w:color w:val="4f81bd" w:themeColor="accent1"/>
      <w:sz w:val="18"/>
      <w:szCs w:val="18"/>
      <w14:textFill>
        <w14:solidFill>
          <w14:schemeClr w14:val="accent1"/>
        </w14:solidFill>
      </w14:textFill>
    </w:rPr>
  </w:style>
  <w:style w:type="paragraph" w:styleId="690">
    <w:name w:val="Body Text"/>
    <w:basedOn w:val="675"/>
    <w:next w:val="688"/>
    <w:uiPriority w:val="0"/>
    <w:qFormat/>
    <w:pPr>
      <w:spacing w:line="400" w:lineRule="exact"/>
    </w:pPr>
    <w:rPr>
      <w:rFonts w:ascii="楷体_GB2312" w:eastAsia="楷体_GB2312"/>
      <w:sz w:val="28"/>
      <w:szCs w:val="20"/>
    </w:rPr>
  </w:style>
  <w:style w:type="paragraph" w:styleId="691">
    <w:name w:val="toc 5"/>
    <w:next w:val="675"/>
    <w:uiPriority w:val="39"/>
    <w:unhideWhenUsed/>
    <w:qFormat/>
    <w:pPr>
      <w:ind w:left="1134" w:right="0" w:firstLine="0"/>
      <w:spacing w:after="57"/>
    </w:pPr>
    <w:rPr>
      <w:rFonts w:ascii="Times New Roman" w:hAnsi="Times New Roman" w:eastAsia="宋体" w:cs="Times New Roman"/>
      <w:sz w:val="21"/>
      <w:szCs w:val="22"/>
    </w:rPr>
  </w:style>
  <w:style w:type="paragraph" w:styleId="692">
    <w:name w:val="toc 3"/>
    <w:next w:val="675"/>
    <w:uiPriority w:val="39"/>
    <w:unhideWhenUsed/>
    <w:qFormat/>
    <w:pPr>
      <w:ind w:left="567" w:right="0" w:firstLine="0"/>
      <w:spacing w:after="57"/>
    </w:pPr>
    <w:rPr>
      <w:rFonts w:ascii="Times New Roman" w:hAnsi="Times New Roman" w:eastAsia="宋体" w:cs="Times New Roman"/>
      <w:sz w:val="21"/>
      <w:szCs w:val="22"/>
    </w:rPr>
  </w:style>
  <w:style w:type="paragraph" w:styleId="693">
    <w:name w:val="toc 8"/>
    <w:next w:val="675"/>
    <w:uiPriority w:val="39"/>
    <w:unhideWhenUsed/>
    <w:qFormat/>
    <w:pPr>
      <w:ind w:left="1984" w:right="0" w:firstLine="0"/>
      <w:spacing w:after="57"/>
    </w:pPr>
    <w:rPr>
      <w:rFonts w:ascii="Times New Roman" w:hAnsi="Times New Roman" w:eastAsia="宋体" w:cs="Times New Roman"/>
      <w:sz w:val="21"/>
      <w:szCs w:val="22"/>
    </w:rPr>
  </w:style>
  <w:style w:type="paragraph" w:styleId="694">
    <w:name w:val="endnote text"/>
    <w:link w:val="856"/>
    <w:uiPriority w:val="99"/>
    <w:unhideWhenUsed/>
    <w:qFormat/>
    <w:pPr>
      <w:spacing w:after="0" w:line="240" w:lineRule="auto"/>
    </w:pPr>
    <w:rPr>
      <w:rFonts w:ascii="Times New Roman" w:hAnsi="Times New Roman" w:eastAsia="宋体" w:cs="Times New Roman"/>
      <w:sz w:val="20"/>
      <w:szCs w:val="22"/>
    </w:rPr>
  </w:style>
  <w:style w:type="paragraph" w:styleId="695">
    <w:name w:val="Footer"/>
    <w:link w:val="729"/>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21"/>
      <w:szCs w:val="22"/>
    </w:rPr>
  </w:style>
  <w:style w:type="paragraph" w:styleId="696">
    <w:name w:val="Header"/>
    <w:link w:val="727"/>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21"/>
      <w:szCs w:val="22"/>
    </w:rPr>
  </w:style>
  <w:style w:type="paragraph" w:styleId="697">
    <w:name w:val="toc 1"/>
    <w:next w:val="675"/>
    <w:uiPriority w:val="39"/>
    <w:unhideWhenUsed/>
    <w:qFormat/>
    <w:pPr>
      <w:ind w:left="0" w:right="0" w:firstLine="0"/>
      <w:spacing w:after="57"/>
    </w:pPr>
    <w:rPr>
      <w:rFonts w:ascii="Times New Roman" w:hAnsi="Times New Roman" w:eastAsia="宋体" w:cs="Times New Roman"/>
      <w:sz w:val="21"/>
      <w:szCs w:val="22"/>
    </w:rPr>
  </w:style>
  <w:style w:type="paragraph" w:styleId="698">
    <w:name w:val="toc 4"/>
    <w:next w:val="675"/>
    <w:uiPriority w:val="39"/>
    <w:unhideWhenUsed/>
    <w:qFormat/>
    <w:pPr>
      <w:ind w:left="850" w:right="0" w:firstLine="0"/>
      <w:spacing w:after="57"/>
    </w:pPr>
    <w:rPr>
      <w:rFonts w:ascii="Times New Roman" w:hAnsi="Times New Roman" w:eastAsia="宋体" w:cs="Times New Roman"/>
      <w:sz w:val="21"/>
      <w:szCs w:val="22"/>
    </w:rPr>
  </w:style>
  <w:style w:type="paragraph" w:styleId="699">
    <w:name w:val="Subtitle"/>
    <w:link w:val="722"/>
    <w:uiPriority w:val="11"/>
    <w:qFormat/>
    <w:pPr>
      <w:spacing w:before="200" w:after="200"/>
    </w:pPr>
    <w:rPr>
      <w:rFonts w:ascii="Times New Roman" w:hAnsi="Times New Roman" w:eastAsia="宋体" w:cs="Times New Roman"/>
      <w:sz w:val="24"/>
      <w:szCs w:val="24"/>
    </w:rPr>
  </w:style>
  <w:style w:type="paragraph" w:styleId="700">
    <w:name w:val="footnote text"/>
    <w:link w:val="855"/>
    <w:uiPriority w:val="99"/>
    <w:unhideWhenUsed/>
    <w:qFormat/>
    <w:pPr>
      <w:spacing w:after="40" w:line="240" w:lineRule="auto"/>
    </w:pPr>
    <w:rPr>
      <w:rFonts w:ascii="Times New Roman" w:hAnsi="Times New Roman" w:eastAsia="宋体" w:cs="Times New Roman"/>
      <w:sz w:val="18"/>
      <w:szCs w:val="22"/>
    </w:rPr>
  </w:style>
  <w:style w:type="paragraph" w:styleId="701">
    <w:name w:val="toc 6"/>
    <w:next w:val="675"/>
    <w:uiPriority w:val="39"/>
    <w:unhideWhenUsed/>
    <w:qFormat/>
    <w:pPr>
      <w:ind w:left="1417" w:right="0" w:firstLine="0"/>
      <w:spacing w:after="57"/>
    </w:pPr>
    <w:rPr>
      <w:rFonts w:ascii="Times New Roman" w:hAnsi="Times New Roman" w:eastAsia="宋体" w:cs="Times New Roman"/>
      <w:sz w:val="21"/>
      <w:szCs w:val="22"/>
    </w:rPr>
  </w:style>
  <w:style w:type="paragraph" w:styleId="702">
    <w:name w:val="table of figures"/>
    <w:next w:val="675"/>
    <w:uiPriority w:val="99"/>
    <w:unhideWhenUsed/>
    <w:qFormat/>
    <w:pPr>
      <w:spacing w:after="0" w:afterAutospacing="0"/>
    </w:pPr>
    <w:rPr>
      <w:rFonts w:ascii="Times New Roman" w:hAnsi="Times New Roman" w:eastAsia="宋体" w:cs="Times New Roman"/>
      <w:sz w:val="21"/>
      <w:szCs w:val="22"/>
    </w:rPr>
  </w:style>
  <w:style w:type="paragraph" w:styleId="703">
    <w:name w:val="toc 2"/>
    <w:next w:val="675"/>
    <w:uiPriority w:val="39"/>
    <w:unhideWhenUsed/>
    <w:qFormat/>
    <w:pPr>
      <w:ind w:left="283" w:right="0" w:firstLine="0"/>
      <w:spacing w:after="57"/>
    </w:pPr>
    <w:rPr>
      <w:rFonts w:ascii="Times New Roman" w:hAnsi="Times New Roman" w:eastAsia="宋体" w:cs="Times New Roman"/>
      <w:sz w:val="21"/>
      <w:szCs w:val="22"/>
    </w:rPr>
  </w:style>
  <w:style w:type="paragraph" w:styleId="704">
    <w:name w:val="toc 9"/>
    <w:next w:val="675"/>
    <w:uiPriority w:val="39"/>
    <w:unhideWhenUsed/>
    <w:qFormat/>
    <w:pPr>
      <w:ind w:left="2268" w:right="0" w:firstLine="0"/>
      <w:spacing w:after="57"/>
    </w:pPr>
    <w:rPr>
      <w:rFonts w:ascii="Times New Roman" w:hAnsi="Times New Roman" w:eastAsia="宋体" w:cs="Times New Roman"/>
      <w:sz w:val="21"/>
      <w:szCs w:val="22"/>
    </w:rPr>
  </w:style>
  <w:style w:type="paragraph" w:styleId="705">
    <w:name w:val="Title"/>
    <w:link w:val="721"/>
    <w:uiPriority w:val="10"/>
    <w:qFormat/>
    <w:pPr>
      <w:contextualSpacing/>
      <w:spacing w:before="300" w:after="200"/>
    </w:pPr>
    <w:rPr>
      <w:rFonts w:ascii="Times New Roman" w:hAnsi="Times New Roman" w:eastAsia="宋体" w:cs="Times New Roman"/>
      <w:sz w:val="48"/>
      <w:szCs w:val="48"/>
    </w:rPr>
  </w:style>
  <w:style w:type="character" w:styleId="706">
    <w:name w:val="endnote reference"/>
    <w:uiPriority w:val="99"/>
    <w:unhideWhenUsed/>
    <w:qFormat/>
    <w:rPr>
      <w:vertAlign w:val="superscript"/>
    </w:rPr>
  </w:style>
  <w:style w:type="character" w:styleId="707">
    <w:name w:val="Hyperlink"/>
    <w:uiPriority w:val="99"/>
    <w:unhideWhenUsed/>
    <w:qFormat/>
    <w:rPr>
      <w:color w:val="0000ff" w:themeColor="hyperlink"/>
      <w:u w:val="single"/>
      <w14:textFill>
        <w14:solidFill>
          <w14:schemeClr w14:val="hlink"/>
        </w14:solidFill>
      </w14:textFill>
    </w:rPr>
  </w:style>
  <w:style w:type="character" w:styleId="708">
    <w:name w:val="footnote reference"/>
    <w:uiPriority w:val="99"/>
    <w:unhideWhenUsed/>
    <w:qFormat/>
    <w:rPr>
      <w:vertAlign w:val="superscript"/>
    </w:rPr>
  </w:style>
  <w:style w:type="table" w:styleId="7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10" w:customStyle="1">
    <w:name w:val="Heading 1 Char"/>
    <w:link w:val="676"/>
    <w:uiPriority w:val="9"/>
    <w:qFormat/>
    <w:rPr>
      <w:rFonts w:ascii="Arial" w:hAnsi="Arial" w:eastAsia="Arial" w:cs="Arial"/>
      <w:sz w:val="40"/>
      <w:szCs w:val="40"/>
    </w:rPr>
  </w:style>
  <w:style w:type="character" w:styleId="711" w:customStyle="1">
    <w:name w:val="Heading 2 Char"/>
    <w:link w:val="677"/>
    <w:uiPriority w:val="9"/>
    <w:qFormat/>
    <w:rPr>
      <w:rFonts w:ascii="Arial" w:hAnsi="Arial" w:eastAsia="Arial" w:cs="Arial"/>
      <w:sz w:val="34"/>
    </w:rPr>
  </w:style>
  <w:style w:type="character" w:styleId="712" w:customStyle="1">
    <w:name w:val="Heading 3 Char"/>
    <w:link w:val="678"/>
    <w:uiPriority w:val="9"/>
    <w:qFormat/>
    <w:rPr>
      <w:rFonts w:ascii="Arial" w:hAnsi="Arial" w:eastAsia="Arial" w:cs="Arial"/>
      <w:sz w:val="30"/>
      <w:szCs w:val="30"/>
    </w:rPr>
  </w:style>
  <w:style w:type="character" w:styleId="713" w:customStyle="1">
    <w:name w:val="Heading 4 Char"/>
    <w:link w:val="679"/>
    <w:uiPriority w:val="9"/>
    <w:qFormat/>
    <w:rPr>
      <w:rFonts w:ascii="Arial" w:hAnsi="Arial" w:eastAsia="Arial" w:cs="Arial"/>
      <w:b/>
      <w:bCs/>
      <w:sz w:val="26"/>
      <w:szCs w:val="26"/>
    </w:rPr>
  </w:style>
  <w:style w:type="character" w:styleId="714" w:customStyle="1">
    <w:name w:val="Heading 5 Char"/>
    <w:link w:val="680"/>
    <w:uiPriority w:val="9"/>
    <w:qFormat/>
    <w:rPr>
      <w:rFonts w:ascii="Arial" w:hAnsi="Arial" w:eastAsia="Arial" w:cs="Arial"/>
      <w:b/>
      <w:bCs/>
      <w:sz w:val="24"/>
      <w:szCs w:val="24"/>
    </w:rPr>
  </w:style>
  <w:style w:type="character" w:styleId="715" w:customStyle="1">
    <w:name w:val="Heading 6 Char"/>
    <w:link w:val="681"/>
    <w:uiPriority w:val="9"/>
    <w:qFormat/>
    <w:rPr>
      <w:rFonts w:ascii="Arial" w:hAnsi="Arial" w:eastAsia="Arial" w:cs="Arial"/>
      <w:b/>
      <w:bCs/>
      <w:sz w:val="22"/>
      <w:szCs w:val="22"/>
    </w:rPr>
  </w:style>
  <w:style w:type="character" w:styleId="716" w:customStyle="1">
    <w:name w:val="Heading 7 Char"/>
    <w:link w:val="682"/>
    <w:uiPriority w:val="9"/>
    <w:qFormat/>
    <w:rPr>
      <w:rFonts w:ascii="Arial" w:hAnsi="Arial" w:eastAsia="Arial" w:cs="Arial"/>
      <w:b/>
      <w:bCs/>
      <w:i/>
      <w:iCs/>
      <w:sz w:val="22"/>
      <w:szCs w:val="22"/>
    </w:rPr>
  </w:style>
  <w:style w:type="character" w:styleId="717" w:customStyle="1">
    <w:name w:val="Heading 8 Char"/>
    <w:link w:val="683"/>
    <w:uiPriority w:val="9"/>
    <w:qFormat/>
    <w:rPr>
      <w:rFonts w:ascii="Arial" w:hAnsi="Arial" w:eastAsia="Arial" w:cs="Arial"/>
      <w:i/>
      <w:iCs/>
      <w:sz w:val="22"/>
      <w:szCs w:val="22"/>
    </w:rPr>
  </w:style>
  <w:style w:type="character" w:styleId="718" w:customStyle="1">
    <w:name w:val="Heading 9 Char"/>
    <w:link w:val="684"/>
    <w:uiPriority w:val="9"/>
    <w:qFormat/>
    <w:rPr>
      <w:rFonts w:ascii="Arial" w:hAnsi="Arial" w:eastAsia="Arial" w:cs="Arial"/>
      <w:i/>
      <w:iCs/>
      <w:sz w:val="21"/>
      <w:szCs w:val="21"/>
    </w:rPr>
  </w:style>
  <w:style w:type="paragraph" w:styleId="719" w:customStyle="1">
    <w:name w:val="List Paragraph"/>
    <w:uiPriority w:val="34"/>
    <w:qFormat/>
    <w:pPr>
      <w:contextualSpacing/>
      <w:ind w:left="720"/>
    </w:pPr>
    <w:rPr>
      <w:rFonts w:ascii="Times New Roman" w:hAnsi="Times New Roman" w:eastAsia="宋体" w:cs="Times New Roman"/>
      <w:sz w:val="21"/>
      <w:szCs w:val="22"/>
    </w:rPr>
  </w:style>
  <w:style w:type="paragraph" w:styleId="720" w:customStyle="1">
    <w:name w:val="No Spacing"/>
    <w:uiPriority w:val="1"/>
    <w:qFormat/>
    <w:pPr>
      <w:spacing w:before="0" w:after="0" w:line="240" w:lineRule="auto"/>
    </w:pPr>
    <w:rPr>
      <w:rFonts w:ascii="Times New Roman" w:hAnsi="Times New Roman" w:eastAsia="宋体" w:cs="Times New Roman"/>
      <w:sz w:val="21"/>
      <w:szCs w:val="22"/>
    </w:rPr>
  </w:style>
  <w:style w:type="character" w:styleId="721" w:customStyle="1">
    <w:name w:val="Title Char"/>
    <w:link w:val="705"/>
    <w:uiPriority w:val="10"/>
    <w:qFormat/>
    <w:rPr>
      <w:sz w:val="48"/>
      <w:szCs w:val="48"/>
    </w:rPr>
  </w:style>
  <w:style w:type="character" w:styleId="722" w:customStyle="1">
    <w:name w:val="Subtitle Char"/>
    <w:link w:val="699"/>
    <w:uiPriority w:val="11"/>
    <w:qFormat/>
    <w:rPr>
      <w:sz w:val="24"/>
      <w:szCs w:val="24"/>
    </w:rPr>
  </w:style>
  <w:style w:type="paragraph" w:styleId="723" w:customStyle="1">
    <w:name w:val="Quote"/>
    <w:link w:val="724"/>
    <w:uiPriority w:val="29"/>
    <w:qFormat/>
    <w:pPr>
      <w:ind w:left="720" w:right="720"/>
    </w:pPr>
    <w:rPr>
      <w:rFonts w:ascii="Times New Roman" w:hAnsi="Times New Roman" w:eastAsia="宋体" w:cs="Times New Roman"/>
      <w:i/>
      <w:sz w:val="21"/>
      <w:szCs w:val="22"/>
    </w:rPr>
  </w:style>
  <w:style w:type="character" w:styleId="724" w:customStyle="1">
    <w:name w:val="Quote Char"/>
    <w:link w:val="723"/>
    <w:uiPriority w:val="29"/>
    <w:qFormat/>
    <w:rPr>
      <w:i/>
    </w:rPr>
  </w:style>
  <w:style w:type="paragraph" w:styleId="725" w:customStyle="1">
    <w:name w:val="Intense Quote"/>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1"/>
      <w:szCs w:val="22"/>
    </w:rPr>
  </w:style>
  <w:style w:type="character" w:styleId="726" w:customStyle="1">
    <w:name w:val="Intense Quote Char"/>
    <w:link w:val="725"/>
    <w:uiPriority w:val="30"/>
    <w:qFormat/>
    <w:rPr>
      <w:i/>
    </w:rPr>
  </w:style>
  <w:style w:type="character" w:styleId="727" w:customStyle="1">
    <w:name w:val="Header Char"/>
    <w:link w:val="696"/>
    <w:uiPriority w:val="99"/>
    <w:qFormat/>
  </w:style>
  <w:style w:type="character" w:styleId="728" w:customStyle="1">
    <w:name w:val="Footer Char"/>
    <w:link w:val="695"/>
    <w:uiPriority w:val="99"/>
    <w:qFormat/>
  </w:style>
  <w:style w:type="character" w:styleId="729" w:customStyle="1">
    <w:name w:val="Caption Char"/>
    <w:link w:val="695"/>
    <w:uiPriority w:val="99"/>
    <w:qFormat/>
  </w:style>
  <w:style w:type="table" w:styleId="7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7"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1"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3"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5" w:customStyle="1">
    <w:name w:val="Footnote Text Char"/>
    <w:link w:val="700"/>
    <w:uiPriority w:val="99"/>
    <w:qFormat/>
    <w:rPr>
      <w:sz w:val="18"/>
    </w:rPr>
  </w:style>
  <w:style w:type="character" w:styleId="856" w:customStyle="1">
    <w:name w:val="Endnote Text Char"/>
    <w:link w:val="694"/>
    <w:uiPriority w:val="99"/>
    <w:qFormat/>
    <w:rPr>
      <w:sz w:val="20"/>
    </w:rPr>
  </w:style>
  <w:style w:type="paragraph" w:styleId="857" w:customStyle="1">
    <w:name w:val="TOC Heading"/>
    <w:uiPriority w:val="39"/>
    <w:unhideWhenUsed/>
    <w:qFormat/>
    <w:rPr>
      <w:rFonts w:ascii="Times New Roman" w:hAnsi="Times New Roman" w:eastAsia="宋体" w:cs="Times New Roman"/>
      <w:sz w:val="21"/>
      <w:szCs w:val="22"/>
    </w:rPr>
  </w:style>
  <w:style w:type="table" w:styleId="858" w:customStyle="1">
    <w:name w:val="Table Normal"/>
    <w:uiPriority w:val="0"/>
    <w:semiHidden/>
    <w:unhideWhenUsed/>
    <w:qFormat/>
    <w:tblPr>
      <w:tblLayout w:type="fixed"/>
      <w:tblCellMar>
        <w:left w:w="0" w:type="dxa"/>
        <w:top w:w="0" w:type="dxa"/>
        <w:right w:w="0" w:type="dxa"/>
        <w:bottom w:w="0" w:type="dxa"/>
      </w:tblCellMar>
    </w:tblPr>
  </w:style>
  <w:style w:type="paragraph" w:styleId="859" w:customStyle="1">
    <w:name w:val="Table Text"/>
    <w:basedOn w:val="675"/>
    <w:uiPriority w:val="0"/>
    <w:semiHidden/>
    <w:qFormat/>
    <w:rPr>
      <w:rFonts w:ascii="Arial" w:hAnsi="Arial" w:eastAsia="Arial" w:cs="Arial"/>
      <w:sz w:val="21"/>
      <w:szCs w:val="21"/>
      <w:lang w:val="en-US" w:eastAsia="en-US" w:bidi="ar-SA"/>
    </w:rPr>
  </w:style>
  <w:style w:type="paragraph" w:styleId="860" w:customStyle="1">
    <w:name w:val="页脚1"/>
    <w:basedOn w:val="675"/>
    <w:uiPriority w:val="99"/>
    <w:qFormat/>
    <w:pPr>
      <w:jc w:val="left"/>
      <w:tabs>
        <w:tab w:val="center" w:pos="4153" w:leader="none"/>
        <w:tab w:val="right" w:pos="8306" w:leader="none"/>
      </w:tabs>
    </w:pPr>
    <w:rPr>
      <w:rFonts w:ascii="Calibri" w:hAnsi="Calibri"/>
      <w:sz w:val="18"/>
      <w:szCs w:val="18"/>
    </w:rPr>
  </w:style>
  <w:style w:type="character" w:styleId="861" w:customStyle="1">
    <w:name w:val="页码1"/>
    <w:basedOn w:val="862"/>
    <w:uiPriority w:val="99"/>
    <w:unhideWhenUsed/>
    <w:qFormat/>
  </w:style>
  <w:style w:type="character" w:styleId="862" w:customStyle="1">
    <w:name w:val="默认段落字体1"/>
    <w:uiPriority w:val="1"/>
    <w:unhideWhenUsed/>
    <w:qFormat/>
  </w:style>
  <w:style w:type="numbering" w:styleId="8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陈倩倩</cp:lastModifiedBy>
  <cp:revision>4</cp:revision>
  <dcterms:created xsi:type="dcterms:W3CDTF">2025-08-05T19:04:00Z</dcterms:created>
  <dcterms:modified xsi:type="dcterms:W3CDTF">2025-12-19T05:24:56Z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83E3134084F2EEBE43C3C3684D095FB6_31</vt:lpwstr>
  </property>
  <property fmtid="{D5CDD505-2E9C-101B-9397-08002B2CF9AE}" pid="4" name="KSOTemplateDocerSaveRecord">
    <vt:lpwstr>eyJoZGlkIjoiNjE2Y2E3MTFkN2RjNWNkOTE4ZmQyODAxODU0Mjg2OTQiLCJ1c2VySWQiOiIxMzY5ODMxNTAxIn0=</vt:lpwstr>
  </property>
</Properties>
</file>